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sz w:val="36"/>
          <w:szCs w:val="36"/>
        </w:rPr>
      </w:pPr>
      <w:r>
        <w:rPr>
          <w:rFonts w:hint="eastAsia" w:ascii="楷体" w:hAnsi="楷体" w:eastAsia="楷体"/>
          <w:bCs/>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1246"/>
        <w:gridCol w:w="10637"/>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Merge w:val="restart"/>
            <w:vAlign w:val="center"/>
          </w:tcPr>
          <w:p>
            <w:pPr>
              <w:spacing w:before="120" w:line="360" w:lineRule="auto"/>
              <w:jc w:val="left"/>
              <w:rPr>
                <w:rFonts w:hint="eastAsia" w:ascii="宋体" w:hAnsi="宋体" w:eastAsia="宋体" w:cs="宋体"/>
                <w:sz w:val="21"/>
                <w:szCs w:val="21"/>
              </w:rPr>
            </w:pPr>
            <w:r>
              <w:rPr>
                <w:rFonts w:hint="eastAsia" w:ascii="宋体" w:hAnsi="宋体" w:eastAsia="宋体" w:cs="宋体"/>
                <w:sz w:val="21"/>
                <w:szCs w:val="21"/>
              </w:rPr>
              <w:t>过程与动、</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抽样计划</w:t>
            </w:r>
          </w:p>
        </w:tc>
        <w:tc>
          <w:tcPr>
            <w:tcW w:w="1246" w:type="dxa"/>
            <w:vMerge w:val="restart"/>
            <w:vAlign w:val="center"/>
          </w:tcPr>
          <w:p>
            <w:pPr>
              <w:spacing w:before="120"/>
              <w:rPr>
                <w:rFonts w:hint="eastAsia" w:ascii="宋体" w:hAnsi="宋体" w:eastAsia="宋体" w:cs="宋体"/>
                <w:sz w:val="21"/>
                <w:szCs w:val="21"/>
              </w:rPr>
            </w:pPr>
            <w:r>
              <w:rPr>
                <w:rFonts w:hint="eastAsia" w:ascii="宋体" w:hAnsi="宋体" w:eastAsia="宋体" w:cs="宋体"/>
                <w:sz w:val="21"/>
                <w:szCs w:val="21"/>
              </w:rPr>
              <w:t>涉及条款</w:t>
            </w:r>
          </w:p>
        </w:tc>
        <w:tc>
          <w:tcPr>
            <w:tcW w:w="10637" w:type="dxa"/>
            <w:vAlign w:val="center"/>
          </w:tcPr>
          <w:p>
            <w:pPr>
              <w:spacing w:before="1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受审核部门：财务部   </w:t>
            </w:r>
            <w:r>
              <w:rPr>
                <w:rFonts w:hint="eastAsia" w:ascii="宋体" w:hAnsi="宋体" w:eastAsia="宋体" w:cs="宋体"/>
                <w:sz w:val="21"/>
                <w:szCs w:val="21"/>
              </w:rPr>
              <w:t>主管领导/陪同人员</w:t>
            </w:r>
            <w:r>
              <w:rPr>
                <w:rFonts w:hint="eastAsia" w:ascii="宋体" w:hAnsi="宋体" w:eastAsia="宋体" w:cs="宋体"/>
                <w:sz w:val="21"/>
                <w:szCs w:val="21"/>
                <w:lang w:eastAsia="zh-CN"/>
              </w:rPr>
              <w:t>：陈</w:t>
            </w:r>
            <w:r>
              <w:rPr>
                <w:rFonts w:hint="eastAsia" w:ascii="宋体" w:hAnsi="宋体" w:cs="宋体"/>
                <w:sz w:val="21"/>
                <w:szCs w:val="21"/>
                <w:lang w:eastAsia="zh-CN"/>
              </w:rPr>
              <w:t>陈细柳</w:t>
            </w:r>
            <w:r>
              <w:rPr>
                <w:rFonts w:hint="eastAsia" w:ascii="宋体" w:hAnsi="宋体" w:eastAsia="宋体" w:cs="宋体"/>
                <w:sz w:val="21"/>
                <w:szCs w:val="21"/>
                <w:lang w:val="en-US" w:eastAsia="zh-CN"/>
              </w:rPr>
              <w:t>/寇威</w:t>
            </w:r>
          </w:p>
        </w:tc>
        <w:tc>
          <w:tcPr>
            <w:tcW w:w="1299" w:type="dxa"/>
            <w:vMerge w:val="restart"/>
            <w:vAlign w:val="center"/>
          </w:tcPr>
          <w:p>
            <w:pPr>
              <w:spacing w:line="360" w:lineRule="auto"/>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7" w:type="dxa"/>
            <w:vMerge w:val="continue"/>
            <w:vAlign w:val="center"/>
          </w:tcPr>
          <w:p>
            <w:pPr>
              <w:spacing w:line="360" w:lineRule="auto"/>
              <w:rPr>
                <w:rFonts w:hint="eastAsia" w:ascii="宋体" w:hAnsi="宋体" w:eastAsia="宋体" w:cs="宋体"/>
                <w:sz w:val="21"/>
                <w:szCs w:val="21"/>
              </w:rPr>
            </w:pPr>
          </w:p>
        </w:tc>
        <w:tc>
          <w:tcPr>
            <w:tcW w:w="1246" w:type="dxa"/>
            <w:vMerge w:val="continue"/>
            <w:vAlign w:val="center"/>
          </w:tcPr>
          <w:p>
            <w:pPr>
              <w:spacing w:before="120"/>
              <w:rPr>
                <w:rFonts w:hint="eastAsia" w:ascii="宋体" w:hAnsi="宋体" w:eastAsia="宋体" w:cs="宋体"/>
                <w:sz w:val="21"/>
                <w:szCs w:val="21"/>
              </w:rPr>
            </w:pPr>
          </w:p>
        </w:tc>
        <w:tc>
          <w:tcPr>
            <w:tcW w:w="10637" w:type="dxa"/>
            <w:vAlign w:val="center"/>
          </w:tcPr>
          <w:p>
            <w:pPr>
              <w:spacing w:before="120"/>
              <w:rPr>
                <w:rFonts w:hint="eastAsia"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 xml:space="preserve"> 林兵 </w:t>
            </w:r>
            <w:r>
              <w:rPr>
                <w:rFonts w:hint="eastAsia" w:ascii="宋体" w:hAnsi="宋体" w:eastAsia="宋体" w:cs="宋体"/>
                <w:sz w:val="21"/>
                <w:szCs w:val="21"/>
              </w:rPr>
              <w:t xml:space="preserve">  审核时间：202</w:t>
            </w:r>
            <w:r>
              <w:rPr>
                <w:rFonts w:hint="eastAsia" w:ascii="宋体" w:hAnsi="宋体" w:eastAsia="宋体" w:cs="宋体"/>
                <w:sz w:val="21"/>
                <w:szCs w:val="21"/>
                <w:lang w:val="en-US" w:eastAsia="zh-CN"/>
              </w:rPr>
              <w:t>1.12</w:t>
            </w:r>
            <w:r>
              <w:rPr>
                <w:rFonts w:hint="eastAsia" w:ascii="宋体" w:hAnsi="宋体" w:eastAsia="宋体" w:cs="宋体"/>
                <w:sz w:val="21"/>
                <w:szCs w:val="21"/>
              </w:rPr>
              <w:t>.</w:t>
            </w:r>
            <w:r>
              <w:rPr>
                <w:rFonts w:hint="eastAsia" w:ascii="宋体" w:hAnsi="宋体" w:eastAsia="宋体" w:cs="宋体"/>
                <w:sz w:val="21"/>
                <w:szCs w:val="21"/>
                <w:lang w:val="en-US" w:eastAsia="zh-CN"/>
              </w:rPr>
              <w:t>3</w:t>
            </w:r>
          </w:p>
        </w:tc>
        <w:tc>
          <w:tcPr>
            <w:tcW w:w="1299"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27" w:type="dxa"/>
            <w:vMerge w:val="continue"/>
            <w:vAlign w:val="center"/>
          </w:tcPr>
          <w:p>
            <w:pPr>
              <w:spacing w:line="360" w:lineRule="auto"/>
              <w:rPr>
                <w:rFonts w:hint="eastAsia" w:ascii="宋体" w:hAnsi="宋体" w:eastAsia="宋体" w:cs="宋体"/>
                <w:sz w:val="21"/>
                <w:szCs w:val="21"/>
              </w:rPr>
            </w:pPr>
          </w:p>
        </w:tc>
        <w:tc>
          <w:tcPr>
            <w:tcW w:w="1246" w:type="dxa"/>
            <w:vMerge w:val="continue"/>
            <w:vAlign w:val="center"/>
          </w:tcPr>
          <w:p>
            <w:pPr>
              <w:spacing w:before="120"/>
              <w:rPr>
                <w:rFonts w:hint="eastAsia" w:ascii="宋体" w:hAnsi="宋体" w:eastAsia="宋体" w:cs="宋体"/>
                <w:sz w:val="21"/>
                <w:szCs w:val="21"/>
              </w:rPr>
            </w:pPr>
          </w:p>
        </w:tc>
        <w:tc>
          <w:tcPr>
            <w:tcW w:w="10637" w:type="dxa"/>
            <w:vAlign w:val="center"/>
          </w:tcPr>
          <w:p>
            <w:pPr>
              <w:spacing w:before="120"/>
              <w:rPr>
                <w:rFonts w:hint="eastAsia" w:ascii="宋体" w:hAnsi="宋体" w:eastAsia="宋体" w:cs="宋体"/>
                <w:sz w:val="21"/>
                <w:szCs w:val="21"/>
              </w:rPr>
            </w:pPr>
            <w:r>
              <w:rPr>
                <w:rFonts w:hint="eastAsia" w:ascii="宋体" w:hAnsi="宋体" w:eastAsia="宋体" w:cs="宋体"/>
                <w:sz w:val="21"/>
                <w:szCs w:val="21"/>
                <w:lang w:val="en-US" w:eastAsia="zh-CN"/>
              </w:rPr>
              <w:t>EO：</w:t>
            </w:r>
            <w:r>
              <w:rPr>
                <w:rFonts w:hint="eastAsia" w:ascii="宋体" w:hAnsi="宋体" w:eastAsia="宋体" w:cs="宋体"/>
                <w:sz w:val="21"/>
                <w:szCs w:val="21"/>
              </w:rPr>
              <w:t>5.3组织的角色、职责和权限、6.1.2环境因素</w:t>
            </w:r>
            <w:r>
              <w:rPr>
                <w:rFonts w:hint="eastAsia" w:ascii="宋体" w:hAnsi="宋体" w:eastAsia="宋体" w:cs="宋体"/>
                <w:sz w:val="21"/>
                <w:szCs w:val="21"/>
                <w:lang w:val="en-US" w:eastAsia="zh-CN"/>
              </w:rPr>
              <w:t>/</w:t>
            </w:r>
            <w:r>
              <w:rPr>
                <w:rFonts w:hint="eastAsia" w:ascii="宋体" w:hAnsi="宋体" w:eastAsia="宋体" w:cs="宋体"/>
                <w:kern w:val="0"/>
                <w:sz w:val="21"/>
                <w:szCs w:val="21"/>
              </w:rPr>
              <w:t>险源</w:t>
            </w:r>
            <w:r>
              <w:rPr>
                <w:rFonts w:hint="eastAsia" w:ascii="宋体" w:hAnsi="宋体" w:cs="宋体"/>
                <w:kern w:val="0"/>
                <w:sz w:val="21"/>
                <w:szCs w:val="21"/>
                <w:lang w:val="en-US" w:eastAsia="zh-CN"/>
              </w:rPr>
              <w:t>辨识</w:t>
            </w:r>
            <w:r>
              <w:rPr>
                <w:rFonts w:hint="eastAsia" w:ascii="宋体" w:hAnsi="宋体" w:eastAsia="宋体" w:cs="宋体"/>
                <w:sz w:val="21"/>
                <w:szCs w:val="21"/>
              </w:rPr>
              <w:t>；6.2目标及其达成的策划；7.1资源；8.1运行策划和控制；8.2应急准备和响应</w:t>
            </w:r>
          </w:p>
        </w:tc>
        <w:tc>
          <w:tcPr>
            <w:tcW w:w="1299"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527" w:type="dxa"/>
            <w:vAlign w:val="top"/>
          </w:tcPr>
          <w:p>
            <w:pPr>
              <w:spacing w:before="12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组织的角色、职责和权限</w:t>
            </w:r>
          </w:p>
        </w:tc>
        <w:tc>
          <w:tcPr>
            <w:tcW w:w="1246" w:type="dxa"/>
            <w:vAlign w:val="top"/>
          </w:tcPr>
          <w:p>
            <w:pPr>
              <w:spacing w:before="12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EO5.3</w:t>
            </w:r>
          </w:p>
        </w:tc>
        <w:tc>
          <w:tcPr>
            <w:tcW w:w="10637" w:type="dxa"/>
            <w:vAlign w:val="center"/>
          </w:tcPr>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审核发现行政部主要负责以下工作内容：</w:t>
            </w:r>
          </w:p>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1. 严格遵守国家财务法律、法规；</w:t>
            </w:r>
          </w:p>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2. 在总经理的领导下，按照公司财务管理制度开展工作，不弄虚作假；</w:t>
            </w:r>
          </w:p>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3. 根据公司财务管理规定，客观、公正审核凭证，及时、正确处理各类帐务；</w:t>
            </w:r>
          </w:p>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4.负责向客户催款，并及时向总经理汇报；</w:t>
            </w:r>
          </w:p>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5.及时、完整、准确地核算，并向总经理反映资金流量财务运行情况，公司</w:t>
            </w:r>
          </w:p>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环保、职业安全健康专项资金划拨使用情况；</w:t>
            </w:r>
          </w:p>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6.贯彻实施公司的质量、环境和职业健康安全及企业管理方针、目标、指标和管理方案；</w:t>
            </w:r>
          </w:p>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7.对本部门环境因素、危险源进行辨识和评价，制订控制措施；</w:t>
            </w:r>
          </w:p>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8.参与公司组织的应急演练；</w:t>
            </w:r>
          </w:p>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9.对工作场所进行风险控制，保护环境。</w:t>
            </w:r>
          </w:p>
          <w:p>
            <w:pPr>
              <w:adjustRightInd w:val="0"/>
              <w:snapToGrid w:val="0"/>
              <w:spacing w:line="320" w:lineRule="exact"/>
              <w:ind w:right="105" w:rightChars="50" w:firstLine="420" w:firstLineChars="200"/>
              <w:textAlignment w:val="baseline"/>
              <w:rPr>
                <w:rFonts w:hint="eastAsia" w:ascii="宋体" w:hAnsi="宋体" w:eastAsia="宋体" w:cs="宋体"/>
                <w:sz w:val="21"/>
                <w:szCs w:val="21"/>
                <w:lang w:val="en-US" w:eastAsia="zh-CN"/>
              </w:rPr>
            </w:pPr>
            <w:r>
              <w:rPr>
                <w:rFonts w:hint="eastAsia"/>
                <w:lang w:val="en-US" w:eastAsia="zh-CN"/>
              </w:rPr>
              <w:t>与财务部部负责人陈陈细柳沟通，描述的职责和权限与一体化管理体系的职能分配表基本一致。</w:t>
            </w:r>
          </w:p>
        </w:tc>
        <w:tc>
          <w:tcPr>
            <w:tcW w:w="1299"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27" w:type="dxa"/>
          </w:tcPr>
          <w:p>
            <w:pPr>
              <w:spacing w:before="12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环境因素和险源辨识和职业安全风险评价</w:t>
            </w:r>
          </w:p>
        </w:tc>
        <w:tc>
          <w:tcPr>
            <w:tcW w:w="1246" w:type="dxa"/>
          </w:tcPr>
          <w:p>
            <w:pPr>
              <w:spacing w:before="12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EO6.1.2</w:t>
            </w:r>
          </w:p>
          <w:p>
            <w:pPr>
              <w:spacing w:before="120"/>
              <w:jc w:val="both"/>
              <w:rPr>
                <w:rFonts w:hint="eastAsia" w:ascii="宋体" w:hAnsi="宋体" w:eastAsia="宋体" w:cs="宋体"/>
                <w:sz w:val="21"/>
                <w:szCs w:val="21"/>
                <w:lang w:val="en-US" w:eastAsia="zh-CN"/>
              </w:rPr>
            </w:pPr>
          </w:p>
        </w:tc>
        <w:tc>
          <w:tcPr>
            <w:tcW w:w="10637" w:type="dxa"/>
          </w:tcPr>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部门负责人陈细柳介绍：财务部根据程序要求，对环境因素、危险源进行了辨识。</w:t>
            </w:r>
          </w:p>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查《环境因素识别评价表》和《重要环境因素清单》，财务部涉及的重要环境因素如下：</w:t>
            </w:r>
          </w:p>
          <w:tbl>
            <w:tblPr>
              <w:tblStyle w:val="12"/>
              <w:tblW w:w="9730"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1360"/>
              <w:gridCol w:w="3157"/>
              <w:gridCol w:w="1843"/>
              <w:gridCol w:w="123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30" w:type="dxa"/>
                  <w:noWrap w:val="0"/>
                  <w:vAlign w:val="center"/>
                </w:tcPr>
                <w:p>
                  <w:pPr>
                    <w:jc w:val="cente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序号</w:t>
                  </w:r>
                </w:p>
              </w:tc>
              <w:tc>
                <w:tcPr>
                  <w:tcW w:w="1360" w:type="dxa"/>
                  <w:noWrap w:val="0"/>
                  <w:vAlign w:val="center"/>
                </w:tcPr>
                <w:p>
                  <w:pPr>
                    <w:jc w:val="both"/>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环境因素</w:t>
                  </w:r>
                </w:p>
              </w:tc>
              <w:tc>
                <w:tcPr>
                  <w:tcW w:w="3157" w:type="dxa"/>
                  <w:noWrap w:val="0"/>
                  <w:vAlign w:val="center"/>
                </w:tcPr>
                <w:p>
                  <w:pPr>
                    <w:jc w:val="both"/>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活动点/工序或部位</w:t>
                  </w:r>
                </w:p>
              </w:tc>
              <w:tc>
                <w:tcPr>
                  <w:tcW w:w="1843" w:type="dxa"/>
                  <w:noWrap w:val="0"/>
                  <w:vAlign w:val="center"/>
                </w:tcPr>
                <w:p>
                  <w:pPr>
                    <w:ind w:left="-737" w:leftChars="-351" w:firstLine="644" w:firstLineChars="307"/>
                    <w:jc w:val="both"/>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环境影响</w:t>
                  </w:r>
                </w:p>
              </w:tc>
              <w:tc>
                <w:tcPr>
                  <w:tcW w:w="1230" w:type="dxa"/>
                  <w:noWrap w:val="0"/>
                  <w:vAlign w:val="center"/>
                </w:tcPr>
                <w:p>
                  <w:pPr>
                    <w:jc w:val="cente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时态/状态</w:t>
                  </w:r>
                </w:p>
              </w:tc>
              <w:tc>
                <w:tcPr>
                  <w:tcW w:w="1710" w:type="dxa"/>
                  <w:noWrap w:val="0"/>
                  <w:vAlign w:val="center"/>
                </w:tcPr>
                <w:p>
                  <w:pPr>
                    <w:jc w:val="cente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管理控制方式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430" w:type="dxa"/>
                  <w:noWrap w:val="0"/>
                  <w:vAlign w:val="center"/>
                </w:tcPr>
                <w:p>
                  <w:pPr>
                    <w:jc w:val="center"/>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1</w:t>
                  </w:r>
                </w:p>
              </w:tc>
              <w:tc>
                <w:tcPr>
                  <w:tcW w:w="1360" w:type="dxa"/>
                  <w:noWrap w:val="0"/>
                  <w:vAlign w:val="center"/>
                </w:tcPr>
                <w:p>
                  <w:pPr>
                    <w:jc w:val="both"/>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废水的排放</w:t>
                  </w:r>
                </w:p>
              </w:tc>
              <w:tc>
                <w:tcPr>
                  <w:tcW w:w="3157" w:type="dxa"/>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生活废水的排放</w:t>
                  </w:r>
                </w:p>
              </w:tc>
              <w:tc>
                <w:tcPr>
                  <w:tcW w:w="1843" w:type="dxa"/>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水体污染</w:t>
                  </w:r>
                </w:p>
              </w:tc>
              <w:tc>
                <w:tcPr>
                  <w:tcW w:w="1230" w:type="dxa"/>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现在/正常</w:t>
                  </w:r>
                </w:p>
              </w:tc>
              <w:tc>
                <w:tcPr>
                  <w:tcW w:w="1710" w:type="dxa"/>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管理方案/环境影响运行控制程序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430" w:type="dxa"/>
                  <w:vMerge w:val="restart"/>
                  <w:noWrap w:val="0"/>
                  <w:vAlign w:val="center"/>
                </w:tcPr>
                <w:p>
                  <w:pPr>
                    <w:jc w:val="center"/>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2</w:t>
                  </w:r>
                </w:p>
              </w:tc>
              <w:tc>
                <w:tcPr>
                  <w:tcW w:w="1360" w:type="dxa"/>
                  <w:vMerge w:val="restart"/>
                  <w:noWrap w:val="0"/>
                  <w:vAlign w:val="center"/>
                </w:tcPr>
                <w:p>
                  <w:pPr>
                    <w:jc w:val="both"/>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资源的消耗</w:t>
                  </w:r>
                </w:p>
              </w:tc>
              <w:tc>
                <w:tcPr>
                  <w:tcW w:w="3157" w:type="dxa"/>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生产用电、水等的消耗</w:t>
                  </w:r>
                </w:p>
              </w:tc>
              <w:tc>
                <w:tcPr>
                  <w:tcW w:w="1843" w:type="dxa"/>
                  <w:vMerge w:val="restart"/>
                  <w:noWrap w:val="0"/>
                  <w:vAlign w:val="top"/>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资源消耗</w:t>
                  </w:r>
                </w:p>
              </w:tc>
              <w:tc>
                <w:tcPr>
                  <w:tcW w:w="1230" w:type="dxa"/>
                  <w:vMerge w:val="restart"/>
                  <w:noWrap w:val="0"/>
                  <w:vAlign w:val="top"/>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现在/正常</w:t>
                  </w:r>
                </w:p>
              </w:tc>
              <w:tc>
                <w:tcPr>
                  <w:tcW w:w="1710" w:type="dxa"/>
                  <w:vMerge w:val="restart"/>
                  <w:noWrap w:val="0"/>
                  <w:vAlign w:val="top"/>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430" w:type="dxa"/>
                  <w:vMerge w:val="continue"/>
                  <w:noWrap w:val="0"/>
                  <w:vAlign w:val="center"/>
                </w:tcPr>
                <w:p>
                  <w:pPr>
                    <w:jc w:val="center"/>
                    <w:rPr>
                      <w:rFonts w:hint="eastAsia" w:ascii="宋体" w:hAnsi="宋体" w:eastAsia="宋体" w:cs="宋体"/>
                      <w:bCs w:val="0"/>
                      <w:spacing w:val="0"/>
                      <w:kern w:val="2"/>
                      <w:sz w:val="21"/>
                      <w:szCs w:val="21"/>
                      <w:lang w:val="en-US" w:eastAsia="zh-CN" w:bidi="ar-SA"/>
                    </w:rPr>
                  </w:pPr>
                </w:p>
              </w:tc>
              <w:tc>
                <w:tcPr>
                  <w:tcW w:w="1360" w:type="dxa"/>
                  <w:vMerge w:val="continue"/>
                  <w:noWrap w:val="0"/>
                  <w:vAlign w:val="center"/>
                </w:tcPr>
                <w:p>
                  <w:pPr>
                    <w:jc w:val="center"/>
                    <w:rPr>
                      <w:rFonts w:hint="eastAsia" w:ascii="宋体" w:hAnsi="宋体" w:eastAsia="宋体" w:cs="宋体"/>
                      <w:bCs w:val="0"/>
                      <w:spacing w:val="0"/>
                      <w:kern w:val="2"/>
                      <w:sz w:val="21"/>
                      <w:szCs w:val="21"/>
                      <w:lang w:val="en-US" w:eastAsia="zh-CN" w:bidi="ar-SA"/>
                    </w:rPr>
                  </w:pPr>
                </w:p>
              </w:tc>
              <w:tc>
                <w:tcPr>
                  <w:tcW w:w="3157" w:type="dxa"/>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办公用电、水等的消耗</w:t>
                  </w:r>
                </w:p>
              </w:tc>
              <w:tc>
                <w:tcPr>
                  <w:tcW w:w="1843" w:type="dxa"/>
                  <w:vMerge w:val="continue"/>
                  <w:noWrap w:val="0"/>
                  <w:vAlign w:val="top"/>
                </w:tcPr>
                <w:p>
                  <w:pPr>
                    <w:rPr>
                      <w:rFonts w:hint="eastAsia" w:ascii="宋体" w:hAnsi="宋体" w:eastAsia="宋体" w:cs="宋体"/>
                      <w:bCs w:val="0"/>
                      <w:spacing w:val="0"/>
                      <w:kern w:val="2"/>
                      <w:sz w:val="21"/>
                      <w:szCs w:val="21"/>
                      <w:lang w:val="en-US" w:eastAsia="zh-CN" w:bidi="ar-SA"/>
                    </w:rPr>
                  </w:pPr>
                </w:p>
              </w:tc>
              <w:tc>
                <w:tcPr>
                  <w:tcW w:w="1230" w:type="dxa"/>
                  <w:vMerge w:val="continue"/>
                  <w:noWrap w:val="0"/>
                  <w:vAlign w:val="top"/>
                </w:tcPr>
                <w:p>
                  <w:pPr>
                    <w:rPr>
                      <w:rFonts w:hint="eastAsia" w:ascii="宋体" w:hAnsi="宋体" w:eastAsia="宋体" w:cs="宋体"/>
                      <w:bCs w:val="0"/>
                      <w:spacing w:val="0"/>
                      <w:kern w:val="2"/>
                      <w:sz w:val="21"/>
                      <w:szCs w:val="21"/>
                      <w:lang w:val="en-US" w:eastAsia="zh-CN" w:bidi="ar-SA"/>
                    </w:rPr>
                  </w:pPr>
                </w:p>
              </w:tc>
              <w:tc>
                <w:tcPr>
                  <w:tcW w:w="1710" w:type="dxa"/>
                  <w:vMerge w:val="continue"/>
                  <w:noWrap w:val="0"/>
                  <w:vAlign w:val="top"/>
                </w:tcPr>
                <w:p>
                  <w:pPr>
                    <w:rPr>
                      <w:rFonts w:hint="eastAsia" w:ascii="宋体" w:hAnsi="宋体" w:eastAsia="宋体" w:cs="宋体"/>
                      <w:bCs w:val="0"/>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430" w:type="dxa"/>
                  <w:vMerge w:val="restart"/>
                  <w:noWrap w:val="0"/>
                  <w:vAlign w:val="center"/>
                </w:tcPr>
                <w:p>
                  <w:pPr>
                    <w:jc w:val="center"/>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3</w:t>
                  </w:r>
                </w:p>
              </w:tc>
              <w:tc>
                <w:tcPr>
                  <w:tcW w:w="1360" w:type="dxa"/>
                  <w:vMerge w:val="restart"/>
                  <w:noWrap w:val="0"/>
                  <w:vAlign w:val="center"/>
                </w:tcPr>
                <w:p>
                  <w:pPr>
                    <w:jc w:val="both"/>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潜在火灾事故的发生</w:t>
                  </w:r>
                </w:p>
              </w:tc>
              <w:tc>
                <w:tcPr>
                  <w:tcW w:w="3157" w:type="dxa"/>
                  <w:tcBorders>
                    <w:bottom w:val="single" w:color="auto" w:sz="4" w:space="0"/>
                  </w:tcBorders>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办公室的易燃物品管理不慎，吸烟等明火引发的火灾</w:t>
                  </w:r>
                </w:p>
              </w:tc>
              <w:tc>
                <w:tcPr>
                  <w:tcW w:w="1843" w:type="dxa"/>
                  <w:vMerge w:val="restart"/>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大气等综合性污染</w:t>
                  </w:r>
                </w:p>
              </w:tc>
              <w:tc>
                <w:tcPr>
                  <w:tcW w:w="1230" w:type="dxa"/>
                  <w:vMerge w:val="restart"/>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将来/紧急</w:t>
                  </w:r>
                </w:p>
              </w:tc>
              <w:tc>
                <w:tcPr>
                  <w:tcW w:w="1710" w:type="dxa"/>
                  <w:vMerge w:val="restart"/>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管理方案/应急准备和响应控制程序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430" w:type="dxa"/>
                  <w:vMerge w:val="continue"/>
                  <w:noWrap w:val="0"/>
                  <w:vAlign w:val="center"/>
                </w:tcPr>
                <w:p>
                  <w:pPr>
                    <w:jc w:val="center"/>
                    <w:rPr>
                      <w:rFonts w:hint="eastAsia" w:ascii="宋体" w:hAnsi="宋体" w:eastAsia="宋体" w:cs="宋体"/>
                      <w:bCs w:val="0"/>
                      <w:spacing w:val="0"/>
                      <w:kern w:val="2"/>
                      <w:sz w:val="21"/>
                      <w:szCs w:val="21"/>
                      <w:lang w:val="en-US" w:eastAsia="zh-CN" w:bidi="ar-SA"/>
                    </w:rPr>
                  </w:pPr>
                </w:p>
              </w:tc>
              <w:tc>
                <w:tcPr>
                  <w:tcW w:w="1360" w:type="dxa"/>
                  <w:vMerge w:val="continue"/>
                  <w:noWrap w:val="0"/>
                  <w:vAlign w:val="center"/>
                </w:tcPr>
                <w:p>
                  <w:pPr>
                    <w:jc w:val="center"/>
                    <w:rPr>
                      <w:rFonts w:hint="eastAsia" w:ascii="宋体" w:hAnsi="宋体" w:eastAsia="宋体" w:cs="宋体"/>
                      <w:bCs w:val="0"/>
                      <w:spacing w:val="0"/>
                      <w:kern w:val="2"/>
                      <w:sz w:val="21"/>
                      <w:szCs w:val="21"/>
                      <w:lang w:val="en-US" w:eastAsia="zh-CN" w:bidi="ar-SA"/>
                    </w:rPr>
                  </w:pPr>
                </w:p>
              </w:tc>
              <w:tc>
                <w:tcPr>
                  <w:tcW w:w="3157" w:type="dxa"/>
                  <w:tcBorders>
                    <w:bottom w:val="single" w:color="auto" w:sz="4" w:space="0"/>
                  </w:tcBorders>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电器短路火灾的发生</w:t>
                  </w:r>
                </w:p>
              </w:tc>
              <w:tc>
                <w:tcPr>
                  <w:tcW w:w="1843" w:type="dxa"/>
                  <w:vMerge w:val="continue"/>
                  <w:noWrap w:val="0"/>
                  <w:vAlign w:val="top"/>
                </w:tcPr>
                <w:p>
                  <w:pPr>
                    <w:rPr>
                      <w:rFonts w:hint="eastAsia" w:ascii="宋体" w:hAnsi="宋体" w:eastAsia="宋体" w:cs="宋体"/>
                      <w:bCs w:val="0"/>
                      <w:spacing w:val="0"/>
                      <w:kern w:val="2"/>
                      <w:sz w:val="21"/>
                      <w:szCs w:val="21"/>
                      <w:lang w:val="en-US" w:eastAsia="zh-CN" w:bidi="ar-SA"/>
                    </w:rPr>
                  </w:pPr>
                </w:p>
              </w:tc>
              <w:tc>
                <w:tcPr>
                  <w:tcW w:w="1230" w:type="dxa"/>
                  <w:vMerge w:val="continue"/>
                  <w:noWrap w:val="0"/>
                  <w:vAlign w:val="top"/>
                </w:tcPr>
                <w:p>
                  <w:pPr>
                    <w:rPr>
                      <w:rFonts w:hint="eastAsia" w:ascii="宋体" w:hAnsi="宋体" w:eastAsia="宋体" w:cs="宋体"/>
                      <w:bCs w:val="0"/>
                      <w:spacing w:val="0"/>
                      <w:kern w:val="2"/>
                      <w:sz w:val="21"/>
                      <w:szCs w:val="21"/>
                      <w:lang w:val="en-US" w:eastAsia="zh-CN" w:bidi="ar-SA"/>
                    </w:rPr>
                  </w:pPr>
                </w:p>
              </w:tc>
              <w:tc>
                <w:tcPr>
                  <w:tcW w:w="1710" w:type="dxa"/>
                  <w:vMerge w:val="continue"/>
                  <w:noWrap w:val="0"/>
                  <w:vAlign w:val="top"/>
                </w:tcPr>
                <w:p>
                  <w:pPr>
                    <w:rPr>
                      <w:rFonts w:hint="eastAsia" w:ascii="宋体" w:hAnsi="宋体" w:eastAsia="宋体" w:cs="宋体"/>
                      <w:bCs w:val="0"/>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430" w:type="dxa"/>
                  <w:noWrap w:val="0"/>
                  <w:vAlign w:val="center"/>
                </w:tcPr>
                <w:p>
                  <w:pPr>
                    <w:jc w:val="center"/>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4</w:t>
                  </w:r>
                </w:p>
              </w:tc>
              <w:tc>
                <w:tcPr>
                  <w:tcW w:w="1360" w:type="dxa"/>
                  <w:noWrap w:val="0"/>
                  <w:vAlign w:val="center"/>
                </w:tcPr>
                <w:p>
                  <w:pPr>
                    <w:jc w:val="both"/>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固废的排放</w:t>
                  </w:r>
                </w:p>
              </w:tc>
              <w:tc>
                <w:tcPr>
                  <w:tcW w:w="3157" w:type="dxa"/>
                  <w:noWrap w:val="0"/>
                  <w:vAlign w:val="center"/>
                </w:tcPr>
                <w:p>
                  <w:pPr>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办公固废（废电池、废硒鼓、墨盒）的排放</w:t>
                  </w:r>
                </w:p>
              </w:tc>
              <w:tc>
                <w:tcPr>
                  <w:tcW w:w="1843" w:type="dxa"/>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固废的综合性污染</w:t>
                  </w:r>
                </w:p>
              </w:tc>
              <w:tc>
                <w:tcPr>
                  <w:tcW w:w="1230" w:type="dxa"/>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将来/正常</w:t>
                  </w:r>
                </w:p>
              </w:tc>
              <w:tc>
                <w:tcPr>
                  <w:tcW w:w="1710" w:type="dxa"/>
                  <w:noWrap w:val="0"/>
                  <w:vAlign w:val="center"/>
                </w:tcPr>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管理方案/环境影响运行控制程序</w:t>
                  </w:r>
                </w:p>
              </w:tc>
            </w:tr>
          </w:tbl>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查</w:t>
            </w:r>
            <w:r>
              <w:rPr>
                <w:rFonts w:hint="eastAsia" w:ascii="宋体" w:hAnsi="宋体" w:cs="宋体"/>
                <w:bCs w:val="0"/>
                <w:spacing w:val="0"/>
                <w:kern w:val="2"/>
                <w:sz w:val="21"/>
                <w:szCs w:val="21"/>
                <w:lang w:val="en-US" w:eastAsia="zh-CN" w:bidi="ar-SA"/>
              </w:rPr>
              <w:t>《不可接受风险清单》</w:t>
            </w:r>
            <w:r>
              <w:rPr>
                <w:rFonts w:hint="eastAsia"/>
                <w:lang w:val="en-US" w:eastAsia="zh-CN"/>
              </w:rPr>
              <w:t>，财务部</w:t>
            </w:r>
            <w:r>
              <w:rPr>
                <w:rFonts w:hint="eastAsia"/>
                <w:lang w:val="en-US" w:eastAsia="zh-TW"/>
              </w:rPr>
              <w:t>涉及</w:t>
            </w:r>
            <w:r>
              <w:rPr>
                <w:rFonts w:hint="eastAsia"/>
                <w:lang w:val="en-US" w:eastAsia="zh-CN"/>
              </w:rPr>
              <w:t>的</w:t>
            </w:r>
            <w:r>
              <w:rPr>
                <w:rFonts w:hint="eastAsia"/>
                <w:lang w:val="en-US" w:eastAsia="zh-TW"/>
              </w:rPr>
              <w:t>重大危险源</w:t>
            </w:r>
            <w:r>
              <w:rPr>
                <w:rFonts w:hint="eastAsia"/>
                <w:lang w:val="en-US" w:eastAsia="zh-CN"/>
              </w:rPr>
              <w:t>如下</w:t>
            </w:r>
            <w:r>
              <w:rPr>
                <w:rFonts w:hint="eastAsia"/>
                <w:lang w:val="en-US" w:eastAsia="zh-TW"/>
              </w:rPr>
              <w:t>：</w:t>
            </w:r>
          </w:p>
          <w:tbl>
            <w:tblPr>
              <w:tblStyle w:val="12"/>
              <w:tblW w:w="981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26"/>
              <w:gridCol w:w="2292"/>
              <w:gridCol w:w="2407"/>
              <w:gridCol w:w="1333"/>
              <w:gridCol w:w="316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626"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序号</w:t>
                  </w:r>
                </w:p>
              </w:tc>
              <w:tc>
                <w:tcPr>
                  <w:tcW w:w="2292"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活动点/工序/部位</w:t>
                  </w:r>
                </w:p>
              </w:tc>
              <w:tc>
                <w:tcPr>
                  <w:tcW w:w="2407"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潜在的危险因素</w:t>
                  </w:r>
                </w:p>
              </w:tc>
              <w:tc>
                <w:tcPr>
                  <w:tcW w:w="1333"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可能导致的结果</w:t>
                  </w:r>
                </w:p>
              </w:tc>
              <w:tc>
                <w:tcPr>
                  <w:tcW w:w="3161"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控制措施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626"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1</w:t>
                  </w:r>
                </w:p>
              </w:tc>
              <w:tc>
                <w:tcPr>
                  <w:tcW w:w="2292" w:type="dxa"/>
                  <w:noWrap w:val="0"/>
                  <w:vAlign w:val="top"/>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办公场所区域的易燃品的堆放</w:t>
                  </w:r>
                </w:p>
              </w:tc>
              <w:tc>
                <w:tcPr>
                  <w:tcW w:w="2407" w:type="dxa"/>
                  <w:noWrap w:val="0"/>
                  <w:vAlign w:val="top"/>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出现明火引起的火灾</w:t>
                  </w:r>
                </w:p>
              </w:tc>
              <w:tc>
                <w:tcPr>
                  <w:tcW w:w="1333" w:type="dxa"/>
                  <w:noWrap w:val="0"/>
                  <w:vAlign w:val="top"/>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人员伤亡</w:t>
                  </w:r>
                </w:p>
              </w:tc>
              <w:tc>
                <w:tcPr>
                  <w:tcW w:w="3161" w:type="dxa"/>
                  <w:noWrap w:val="0"/>
                  <w:vAlign w:val="top"/>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应急准备和响应控制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626"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2</w:t>
                  </w:r>
                </w:p>
              </w:tc>
              <w:tc>
                <w:tcPr>
                  <w:tcW w:w="2292"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办公用电</w:t>
                  </w:r>
                </w:p>
              </w:tc>
              <w:tc>
                <w:tcPr>
                  <w:tcW w:w="2407"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设备损坏，线路老化，电路设置不符合要求</w:t>
                  </w:r>
                </w:p>
              </w:tc>
              <w:tc>
                <w:tcPr>
                  <w:tcW w:w="1333"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人员触电，火灾事故等</w:t>
                  </w:r>
                </w:p>
              </w:tc>
              <w:tc>
                <w:tcPr>
                  <w:tcW w:w="3161"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规范操作，坚持线路检查，做好应急响应工作</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42" w:hRule="atLeast"/>
                <w:jc w:val="center"/>
              </w:trPr>
              <w:tc>
                <w:tcPr>
                  <w:tcW w:w="626"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3</w:t>
                  </w:r>
                </w:p>
              </w:tc>
              <w:tc>
                <w:tcPr>
                  <w:tcW w:w="2292"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职业健康安全</w:t>
                  </w:r>
                </w:p>
              </w:tc>
              <w:tc>
                <w:tcPr>
                  <w:tcW w:w="2407"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职业病的发生</w:t>
                  </w:r>
                </w:p>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传染病的传播</w:t>
                  </w:r>
                </w:p>
              </w:tc>
              <w:tc>
                <w:tcPr>
                  <w:tcW w:w="1333"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职业健康安全</w:t>
                  </w:r>
                </w:p>
              </w:tc>
              <w:tc>
                <w:tcPr>
                  <w:tcW w:w="3161"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规范操作，佩戴防护用具</w:t>
                  </w:r>
                </w:p>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定期进行体检</w:t>
                  </w:r>
                </w:p>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制定应急预案，全员进行安全知识培训，提高自我防护意识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626"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4</w:t>
                  </w:r>
                </w:p>
              </w:tc>
              <w:tc>
                <w:tcPr>
                  <w:tcW w:w="2292"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生产线员工、员工上下班、业务员出差</w:t>
                  </w:r>
                </w:p>
              </w:tc>
              <w:tc>
                <w:tcPr>
                  <w:tcW w:w="2407"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高温中暑、交通意外</w:t>
                  </w:r>
                </w:p>
              </w:tc>
              <w:tc>
                <w:tcPr>
                  <w:tcW w:w="1333"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人员伤亡</w:t>
                  </w:r>
                </w:p>
              </w:tc>
              <w:tc>
                <w:tcPr>
                  <w:tcW w:w="3161"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做好防护和应急响应工作</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626"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5</w:t>
                  </w:r>
                </w:p>
              </w:tc>
              <w:tc>
                <w:tcPr>
                  <w:tcW w:w="2292"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台风等自然灾害</w:t>
                  </w:r>
                </w:p>
              </w:tc>
              <w:tc>
                <w:tcPr>
                  <w:tcW w:w="2407"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自然灾害紧急情况</w:t>
                  </w:r>
                </w:p>
              </w:tc>
              <w:tc>
                <w:tcPr>
                  <w:tcW w:w="1333"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人员伤亡</w:t>
                  </w:r>
                </w:p>
              </w:tc>
              <w:tc>
                <w:tcPr>
                  <w:tcW w:w="3161" w:type="dxa"/>
                  <w:noWrap w:val="0"/>
                  <w:vAlign w:val="center"/>
                </w:tcPr>
                <w:p>
                  <w:pPr>
                    <w:jc w:val="left"/>
                    <w:rPr>
                      <w:rFonts w:hint="eastAsia" w:ascii="宋体" w:hAnsi="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做好防护和应急响应工作</w:t>
                  </w:r>
                </w:p>
              </w:tc>
            </w:tr>
          </w:tbl>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TW"/>
              </w:rPr>
              <w:t>对于</w:t>
            </w:r>
            <w:r>
              <w:rPr>
                <w:rFonts w:hint="eastAsia"/>
                <w:lang w:val="en-US" w:eastAsia="zh-CN"/>
              </w:rPr>
              <w:t>环境因素、重要环境因素及危险源、不可接受风险等通过运行控制、管理方案、应急准备与响应进行控制。</w:t>
            </w:r>
          </w:p>
          <w:p>
            <w:pPr>
              <w:spacing w:line="280" w:lineRule="exact"/>
              <w:ind w:firstLine="420" w:firstLineChars="200"/>
              <w:jc w:val="both"/>
              <w:rPr>
                <w:rFonts w:ascii="楷体" w:hAnsi="楷体" w:eastAsia="楷体" w:cs="宋体"/>
                <w:color w:val="0070C0"/>
                <w:sz w:val="24"/>
                <w:szCs w:val="24"/>
              </w:rPr>
            </w:pPr>
            <w:r>
              <w:rPr>
                <w:rFonts w:hint="eastAsia"/>
                <w:lang w:val="en-US" w:eastAsia="zh-CN"/>
              </w:rPr>
              <w:t>财务部环境因素、危险源的识别、评价和控制基本符合标准要求。</w:t>
            </w:r>
          </w:p>
        </w:tc>
        <w:tc>
          <w:tcPr>
            <w:tcW w:w="1299" w:type="dxa"/>
          </w:tcPr>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r>
              <w:rPr>
                <w:rFonts w:hint="eastAsia" w:ascii="楷体" w:hAnsi="楷体" w:eastAsia="楷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27" w:type="dxa"/>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目标及其达成的策划</w:t>
            </w:r>
          </w:p>
        </w:tc>
        <w:tc>
          <w:tcPr>
            <w:tcW w:w="1246" w:type="dxa"/>
          </w:tcPr>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EO6.2</w:t>
            </w:r>
          </w:p>
        </w:tc>
        <w:tc>
          <w:tcPr>
            <w:tcW w:w="10637" w:type="dxa"/>
          </w:tcPr>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财务部涉及的管理目标如下：</w:t>
            </w:r>
          </w:p>
          <w:p>
            <w:pPr>
              <w:adjustRightInd w:val="0"/>
              <w:snapToGrid w:val="0"/>
              <w:spacing w:line="320" w:lineRule="exact"/>
              <w:ind w:right="105" w:rightChars="50" w:firstLine="420" w:firstLineChars="200"/>
              <w:textAlignment w:val="baseline"/>
              <w:rPr>
                <w:rFonts w:hint="eastAsia" w:ascii="楷体" w:hAnsi="楷体" w:eastAsia="楷体"/>
                <w:color w:val="0070C0"/>
                <w:sz w:val="24"/>
                <w:szCs w:val="24"/>
                <w:lang w:eastAsia="zh-CN"/>
              </w:rPr>
            </w:pPr>
            <w:r>
              <w:drawing>
                <wp:anchor distT="0" distB="0" distL="114300" distR="114300" simplePos="0" relativeHeight="251659264" behindDoc="0" locked="0" layoutInCell="1" allowOverlap="1">
                  <wp:simplePos x="0" y="0"/>
                  <wp:positionH relativeFrom="column">
                    <wp:posOffset>172720</wp:posOffset>
                  </wp:positionH>
                  <wp:positionV relativeFrom="paragraph">
                    <wp:posOffset>-209550</wp:posOffset>
                  </wp:positionV>
                  <wp:extent cx="6191250" cy="1599565"/>
                  <wp:effectExtent l="0" t="0" r="6350" b="635"/>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6191250" cy="1599565"/>
                          </a:xfrm>
                          <a:prstGeom prst="rect">
                            <a:avLst/>
                          </a:prstGeom>
                          <a:noFill/>
                          <a:ln>
                            <a:noFill/>
                          </a:ln>
                        </pic:spPr>
                      </pic:pic>
                    </a:graphicData>
                  </a:graphic>
                </wp:anchor>
              </w:drawing>
            </w:r>
            <w:r>
              <w:rPr>
                <w:rFonts w:hint="eastAsia"/>
                <w:lang w:val="en-US" w:eastAsia="zh-CN"/>
              </w:rPr>
              <w:t>部门目标与分解基本合理，均有相应的统计方法、管理方案和监视频率，责任部门和责任人明确，基本满足控制要求。</w:t>
            </w:r>
          </w:p>
        </w:tc>
        <w:tc>
          <w:tcPr>
            <w:tcW w:w="1299" w:type="dxa"/>
          </w:tcPr>
          <w:p>
            <w:pPr>
              <w:spacing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527" w:type="dxa"/>
            <w:vAlign w:val="top"/>
          </w:tcPr>
          <w:p>
            <w:pPr>
              <w:adjustRightInd w:val="0"/>
              <w:snapToGrid w:val="0"/>
              <w:spacing w:line="320" w:lineRule="exact"/>
              <w:ind w:right="105" w:rightChars="50"/>
              <w:textAlignment w:val="baseline"/>
              <w:rPr>
                <w:rFonts w:hint="eastAsia" w:ascii="宋体" w:hAnsi="宋体" w:eastAsia="宋体" w:cs="宋体"/>
                <w:lang w:val="en-US" w:eastAsia="zh-CN"/>
              </w:rPr>
            </w:pPr>
            <w:r>
              <w:rPr>
                <w:rFonts w:hint="eastAsia" w:ascii="宋体" w:hAnsi="宋体" w:eastAsia="宋体" w:cs="宋体"/>
                <w:lang w:val="en-US" w:eastAsia="zh-CN"/>
              </w:rPr>
              <w:t>资源</w:t>
            </w:r>
          </w:p>
        </w:tc>
        <w:tc>
          <w:tcPr>
            <w:tcW w:w="1246" w:type="dxa"/>
            <w:vAlign w:val="top"/>
          </w:tcPr>
          <w:p>
            <w:pPr>
              <w:adjustRightInd w:val="0"/>
              <w:snapToGrid w:val="0"/>
              <w:spacing w:line="320" w:lineRule="exact"/>
              <w:ind w:right="105" w:rightChars="50"/>
              <w:textAlignment w:val="baseline"/>
              <w:rPr>
                <w:rFonts w:hint="eastAsia" w:ascii="宋体" w:hAnsi="宋体" w:eastAsia="宋体" w:cs="宋体"/>
                <w:lang w:val="en-US" w:eastAsia="zh-CN"/>
              </w:rPr>
            </w:pPr>
            <w:r>
              <w:rPr>
                <w:rFonts w:hint="eastAsia" w:ascii="宋体" w:hAnsi="宋体" w:eastAsia="宋体" w:cs="宋体"/>
                <w:lang w:val="en-US" w:eastAsia="zh-CN"/>
              </w:rPr>
              <w:t>EO7.1</w:t>
            </w:r>
          </w:p>
        </w:tc>
        <w:tc>
          <w:tcPr>
            <w:tcW w:w="10637" w:type="dxa"/>
            <w:vAlign w:val="top"/>
          </w:tcPr>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询问财务部负责人陈细柳了解到，总经理对资源的配备比较重视，组织为了实施质量、环境和职业健康安全管理体系，并持续改进其有效性、增强顾客满意度和体系正常运行提供了充足的资金及必要的资源，为提高员工质量意识组织了的培训，目前的资源基本满足策划需求。</w:t>
            </w:r>
          </w:p>
          <w:p>
            <w:pPr>
              <w:adjustRightInd w:val="0"/>
              <w:snapToGrid w:val="0"/>
              <w:spacing w:line="320" w:lineRule="exact"/>
              <w:ind w:right="105" w:rightChars="50" w:firstLine="420" w:firstLineChars="200"/>
              <w:textAlignment w:val="baseline"/>
              <w:rPr>
                <w:rFonts w:hint="default"/>
                <w:lang w:val="en-US" w:eastAsia="zh-CN"/>
              </w:rPr>
            </w:pPr>
            <w:r>
              <w:rPr>
                <w:rFonts w:hint="eastAsia"/>
                <w:lang w:val="en-US" w:eastAsia="zh-CN"/>
              </w:rPr>
              <w:t>现场审核发现，人力资源、设备和工作环境等基本可满足资质范围内的活动需求。抽查组织2021年度财务审计报告发现，组织的现金流充足，管理、销售等费用投入合理，能够满足资源需求。</w:t>
            </w:r>
          </w:p>
        </w:tc>
        <w:tc>
          <w:tcPr>
            <w:tcW w:w="1299"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27" w:type="dxa"/>
          </w:tcPr>
          <w:p>
            <w:pPr>
              <w:adjustRightInd w:val="0"/>
              <w:snapToGrid w:val="0"/>
              <w:spacing w:line="320" w:lineRule="exact"/>
              <w:ind w:right="105" w:rightChars="50"/>
              <w:textAlignment w:val="baseline"/>
              <w:rPr>
                <w:rFonts w:hint="eastAsia" w:ascii="宋体" w:hAnsi="宋体" w:eastAsia="宋体" w:cs="宋体"/>
                <w:lang w:val="en-US" w:eastAsia="zh-CN"/>
              </w:rPr>
            </w:pPr>
            <w:r>
              <w:rPr>
                <w:rFonts w:hint="eastAsia" w:ascii="宋体" w:hAnsi="宋体" w:eastAsia="宋体" w:cs="宋体"/>
                <w:lang w:val="en-US" w:eastAsia="zh-CN"/>
              </w:rPr>
              <w:t>运行控制</w:t>
            </w:r>
          </w:p>
        </w:tc>
        <w:tc>
          <w:tcPr>
            <w:tcW w:w="1246" w:type="dxa"/>
          </w:tcPr>
          <w:p>
            <w:pPr>
              <w:adjustRightInd w:val="0"/>
              <w:snapToGrid w:val="0"/>
              <w:spacing w:line="320" w:lineRule="exact"/>
              <w:ind w:right="105" w:rightChars="50"/>
              <w:textAlignment w:val="baseline"/>
              <w:rPr>
                <w:rFonts w:hint="eastAsia" w:ascii="宋体" w:hAnsi="宋体" w:eastAsia="宋体" w:cs="宋体"/>
                <w:lang w:val="en-US" w:eastAsia="zh-CN"/>
              </w:rPr>
            </w:pPr>
            <w:r>
              <w:rPr>
                <w:rFonts w:hint="eastAsia" w:ascii="宋体" w:hAnsi="宋体" w:eastAsia="宋体" w:cs="宋体"/>
                <w:lang w:val="en-US" w:eastAsia="zh-CN"/>
              </w:rPr>
              <w:t>EO8.1</w:t>
            </w:r>
          </w:p>
          <w:p>
            <w:pPr>
              <w:adjustRightInd w:val="0"/>
              <w:snapToGrid w:val="0"/>
              <w:spacing w:line="320" w:lineRule="exact"/>
              <w:ind w:right="105" w:rightChars="50"/>
              <w:textAlignment w:val="baseline"/>
              <w:rPr>
                <w:rFonts w:hint="eastAsia" w:ascii="宋体" w:hAnsi="宋体" w:eastAsia="宋体" w:cs="宋体"/>
                <w:lang w:val="en-US" w:eastAsia="zh-CN"/>
              </w:rPr>
            </w:pPr>
          </w:p>
        </w:tc>
        <w:tc>
          <w:tcPr>
            <w:tcW w:w="10637" w:type="dxa"/>
            <w:vAlign w:val="top"/>
          </w:tcPr>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组织根据活动内容，策划了与财务部相关的 等重要准则。</w:t>
            </w:r>
          </w:p>
          <w:p>
            <w:pPr>
              <w:adjustRightInd w:val="0"/>
              <w:snapToGrid w:val="0"/>
              <w:spacing w:line="320" w:lineRule="exact"/>
              <w:ind w:right="105" w:rightChars="50" w:firstLine="420" w:firstLineChars="200"/>
              <w:textAlignment w:val="baseline"/>
              <w:rPr>
                <w:rFonts w:hint="eastAsia" w:ascii="Times New Roman" w:hAnsi="Times New Roman" w:eastAsia="宋体" w:cs="Times New Roman"/>
                <w:lang w:val="en-US" w:eastAsia="zh-CN"/>
              </w:rPr>
            </w:pPr>
            <w:r>
              <w:rPr>
                <w:rFonts w:hint="eastAsia" w:cs="Times New Roman"/>
                <w:lang w:val="en-US" w:eastAsia="zh-CN"/>
              </w:rPr>
              <w:t>财务部</w:t>
            </w:r>
            <w:r>
              <w:rPr>
                <w:rFonts w:hint="eastAsia" w:ascii="Times New Roman" w:hAnsi="Times New Roman" w:eastAsia="宋体" w:cs="Times New Roman"/>
                <w:lang w:val="en-US" w:eastAsia="zh-CN"/>
              </w:rPr>
              <w:t>涉及的过程主要包括</w:t>
            </w:r>
            <w:r>
              <w:rPr>
                <w:rFonts w:hint="eastAsia" w:cs="Times New Roman"/>
                <w:lang w:val="en-US" w:eastAsia="zh-CN"/>
              </w:rPr>
              <w:t>财务支持</w:t>
            </w:r>
            <w:r>
              <w:rPr>
                <w:rFonts w:hint="eastAsia" w:ascii="Times New Roman" w:hAnsi="Times New Roman" w:eastAsia="宋体" w:cs="Times New Roman"/>
                <w:lang w:val="en-US" w:eastAsia="zh-CN"/>
              </w:rPr>
              <w:t>等活动。</w:t>
            </w:r>
          </w:p>
          <w:p>
            <w:pPr>
              <w:adjustRightInd w:val="0"/>
              <w:snapToGrid w:val="0"/>
              <w:spacing w:line="320" w:lineRule="exact"/>
              <w:ind w:right="105" w:rightChars="50" w:firstLine="420" w:firstLineChars="200"/>
              <w:textAlignment w:val="baseline"/>
              <w:rPr>
                <w:rFonts w:hint="default"/>
                <w:color w:val="auto"/>
                <w:lang w:val="en-US" w:eastAsia="zh-CN"/>
              </w:rPr>
            </w:pPr>
            <w:r>
              <w:rPr>
                <w:rFonts w:hint="eastAsia"/>
                <w:color w:val="auto"/>
                <w:lang w:val="en-US" w:eastAsia="zh-CN"/>
              </w:rPr>
              <w:t>提供环境安全相关资金投入使用记录：组织体系运行至今，在物业使用、水电使用、消防、劳保、垃圾处理、设备投入、危害因素监测及环境污染监测等投入费用共计1083063元。</w:t>
            </w:r>
          </w:p>
          <w:p>
            <w:pPr>
              <w:adjustRightInd w:val="0"/>
              <w:snapToGrid w:val="0"/>
              <w:spacing w:line="320" w:lineRule="exact"/>
              <w:ind w:right="105" w:rightChars="50" w:firstLine="420" w:firstLineChars="200"/>
              <w:textAlignment w:val="baseline"/>
              <w:rPr>
                <w:rFonts w:hint="eastAsia"/>
                <w:lang w:val="en-US" w:eastAsia="zh-CN"/>
              </w:rPr>
            </w:pPr>
            <w:r>
              <w:rPr>
                <w:rFonts w:hint="eastAsia"/>
                <w:lang w:val="en-US" w:eastAsia="zh-CN"/>
              </w:rPr>
              <w:t>财务部负责人陈少亚介绍，组织领导有提供基本的资源包括场所、人力、物力、设备设施等，如办公场所等；到目前为止，组织采购活动策划未发生变更，问其有关要求，基本了解。</w:t>
            </w:r>
          </w:p>
          <w:p>
            <w:pPr>
              <w:spacing w:line="280" w:lineRule="exact"/>
              <w:ind w:firstLine="420" w:firstLineChars="200"/>
              <w:rPr>
                <w:rFonts w:hint="eastAsia" w:ascii="楷体" w:hAnsi="楷体" w:eastAsia="楷体"/>
                <w:color w:val="0070C0"/>
                <w:sz w:val="24"/>
                <w:szCs w:val="24"/>
              </w:rPr>
            </w:pPr>
            <w:r>
              <w:rPr>
                <w:rFonts w:hint="eastAsia"/>
                <w:lang w:val="en-US" w:eastAsia="zh-CN"/>
              </w:rPr>
              <w:t>财务部涉及的环境和职业健康安全运行策划和控制内容主要见行政部EO8.1记录</w:t>
            </w:r>
            <w:r>
              <w:rPr>
                <w:rFonts w:hint="eastAsia"/>
                <w:lang w:val="en-US" w:eastAsia="zh-TW"/>
              </w:rPr>
              <w:t>。</w:t>
            </w:r>
          </w:p>
        </w:tc>
        <w:tc>
          <w:tcPr>
            <w:tcW w:w="1299"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27" w:type="dxa"/>
          </w:tcPr>
          <w:p>
            <w:pPr>
              <w:adjustRightInd w:val="0"/>
              <w:snapToGrid w:val="0"/>
              <w:spacing w:line="320" w:lineRule="exact"/>
              <w:ind w:right="105" w:rightChars="50"/>
              <w:textAlignment w:val="baseline"/>
              <w:rPr>
                <w:rFonts w:hint="eastAsia" w:ascii="宋体" w:hAnsi="宋体" w:eastAsia="宋体" w:cs="宋体"/>
                <w:lang w:val="en-US" w:eastAsia="zh-CN"/>
              </w:rPr>
            </w:pPr>
            <w:r>
              <w:rPr>
                <w:rFonts w:hint="eastAsia" w:ascii="宋体" w:hAnsi="宋体" w:eastAsia="宋体" w:cs="宋体"/>
                <w:lang w:val="en-US" w:eastAsia="zh-CN"/>
              </w:rPr>
              <w:t>应急准备和相应</w:t>
            </w:r>
          </w:p>
        </w:tc>
        <w:tc>
          <w:tcPr>
            <w:tcW w:w="1246" w:type="dxa"/>
          </w:tcPr>
          <w:p>
            <w:pPr>
              <w:adjustRightInd w:val="0"/>
              <w:snapToGrid w:val="0"/>
              <w:spacing w:line="320" w:lineRule="exact"/>
              <w:ind w:right="105" w:rightChars="50"/>
              <w:textAlignment w:val="baseline"/>
              <w:rPr>
                <w:rFonts w:hint="eastAsia" w:ascii="宋体" w:hAnsi="宋体" w:eastAsia="宋体" w:cs="宋体"/>
                <w:lang w:val="en-US" w:eastAsia="zh-CN"/>
              </w:rPr>
            </w:pPr>
            <w:r>
              <w:rPr>
                <w:rFonts w:hint="eastAsia" w:ascii="宋体" w:hAnsi="宋体" w:eastAsia="宋体" w:cs="宋体"/>
                <w:lang w:val="en-US" w:eastAsia="zh-CN"/>
              </w:rPr>
              <w:t>EO8.2</w:t>
            </w:r>
          </w:p>
        </w:tc>
        <w:tc>
          <w:tcPr>
            <w:tcW w:w="10637" w:type="dxa"/>
          </w:tcPr>
          <w:p>
            <w:pPr>
              <w:spacing w:line="280" w:lineRule="exact"/>
              <w:ind w:firstLine="420" w:firstLineChars="200"/>
              <w:rPr>
                <w:rFonts w:hint="eastAsia"/>
                <w:lang w:val="en-US" w:eastAsia="zh-CN"/>
              </w:rPr>
            </w:pPr>
            <w:r>
              <w:rPr>
                <w:rFonts w:hint="eastAsia"/>
                <w:lang w:val="en-US" w:eastAsia="zh-CN"/>
              </w:rPr>
              <w:t>财务部按照策划的《应急准备和响应程序》、《应急预案》等，明确了相应的运行准则。</w:t>
            </w:r>
          </w:p>
          <w:p>
            <w:pPr>
              <w:spacing w:line="280" w:lineRule="exact"/>
              <w:ind w:firstLine="420" w:firstLineChars="200"/>
              <w:rPr>
                <w:rFonts w:hint="default"/>
                <w:lang w:val="en-US" w:eastAsia="zh-CN"/>
              </w:rPr>
            </w:pPr>
            <w:r>
              <w:rPr>
                <w:rFonts w:hint="eastAsia"/>
                <w:lang w:val="en-US" w:eastAsia="zh-CN"/>
              </w:rPr>
              <w:t>财务部负责人陈细柳介绍，财务部按照公司统一要求，办公过程中加强用电安全，防止触电事故和火灾事故的发生，配合行政部等组织部门员工参与应急演练。</w:t>
            </w:r>
          </w:p>
          <w:p>
            <w:pPr>
              <w:spacing w:line="280" w:lineRule="exact"/>
              <w:ind w:firstLine="420" w:firstLineChars="200"/>
              <w:rPr>
                <w:rFonts w:hint="eastAsia"/>
                <w:lang w:val="en-US" w:eastAsia="zh-CN"/>
              </w:rPr>
            </w:pPr>
            <w:r>
              <w:rPr>
                <w:rFonts w:hint="eastAsia"/>
                <w:lang w:val="en-US" w:eastAsia="zh-CN"/>
              </w:rPr>
              <w:t>查2021年9月10</w:t>
            </w:r>
            <w:bookmarkStart w:id="0" w:name="_GoBack"/>
            <w:bookmarkEnd w:id="0"/>
            <w:r>
              <w:rPr>
                <w:rFonts w:hint="eastAsia"/>
                <w:lang w:val="en-US" w:eastAsia="zh-CN"/>
              </w:rPr>
              <w:t>日部门人员均参加了行政部组织的消防演练。</w:t>
            </w:r>
          </w:p>
          <w:p>
            <w:pPr>
              <w:spacing w:line="280" w:lineRule="exact"/>
              <w:ind w:firstLine="420" w:firstLineChars="200"/>
              <w:jc w:val="both"/>
              <w:rPr>
                <w:rFonts w:hint="eastAsia" w:ascii="楷体" w:hAnsi="楷体" w:eastAsia="楷体"/>
                <w:color w:val="0070C0"/>
                <w:sz w:val="24"/>
                <w:szCs w:val="24"/>
              </w:rPr>
            </w:pPr>
            <w:r>
              <w:rPr>
                <w:rFonts w:hint="eastAsia"/>
                <w:lang w:val="en-US" w:eastAsia="zh-CN"/>
              </w:rPr>
              <w:t>自体系运行以来，未出现紧急情况。</w:t>
            </w:r>
            <w:r>
              <w:rPr>
                <w:rFonts w:hint="eastAsia" w:ascii="楷体" w:hAnsi="楷体" w:eastAsia="楷体"/>
                <w:color w:val="0070C0"/>
                <w:sz w:val="24"/>
                <w:szCs w:val="24"/>
              </w:rPr>
              <w:t xml:space="preserve">  </w:t>
            </w:r>
          </w:p>
        </w:tc>
        <w:tc>
          <w:tcPr>
            <w:tcW w:w="1299" w:type="dxa"/>
          </w:tcPr>
          <w:p>
            <w:pPr>
              <w:spacing w:line="360" w:lineRule="auto"/>
              <w:rPr>
                <w:rFonts w:ascii="楷体" w:hAnsi="楷体" w:eastAsia="楷体"/>
                <w:sz w:val="24"/>
                <w:szCs w:val="24"/>
              </w:rPr>
            </w:pPr>
          </w:p>
        </w:tc>
      </w:tr>
    </w:tbl>
    <w:p>
      <w:pPr>
        <w:rPr>
          <w:rFonts w:ascii="楷体" w:hAnsi="楷体" w:eastAsia="楷体"/>
          <w:sz w:val="21"/>
          <w:szCs w:val="21"/>
        </w:rPr>
      </w:pPr>
      <w:r>
        <w:rPr>
          <w:rFonts w:hint="eastAsia" w:ascii="楷体" w:hAnsi="楷体" w:eastAsia="楷体"/>
          <w:sz w:val="21"/>
          <w:szCs w:val="21"/>
        </w:rPr>
        <w:t>说明：不符合标注N</w:t>
      </w:r>
    </w:p>
    <w:sectPr>
      <w:headerReference r:id="rId3" w:type="default"/>
      <w:footerReference r:id="rId4" w:type="default"/>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ISC-B-II-31 管理体系审核记录表(03版)</w:t>
                </w:r>
              </w:p>
            </w:txbxContent>
          </v:textbox>
        </v:shape>
      </w:pict>
    </w:r>
    <w:r>
      <w:rPr>
        <w:rStyle w:val="19"/>
        <w:rFonts w:hint="default"/>
      </w:rPr>
      <w:t xml:space="preserve">        </w:t>
    </w:r>
    <w:r>
      <w:rPr>
        <w:rStyle w:val="19"/>
        <w:rFonts w:hint="default"/>
        <w:w w:val="90"/>
      </w:rPr>
      <w:t>Beijing International Standard united Certification Co.,Ltd.</w:t>
    </w:r>
    <w:r>
      <w:rPr>
        <w:rStyle w:val="19"/>
        <w:rFonts w:hint="default"/>
        <w:w w:val="90"/>
        <w:szCs w:val="21"/>
      </w:rPr>
      <w:t xml:space="preserve">  </w:t>
    </w:r>
    <w:r>
      <w:rPr>
        <w:rStyle w:val="19"/>
        <w:rFonts w:hint="default"/>
        <w:w w:val="90"/>
        <w:sz w:val="20"/>
      </w:rPr>
      <w:t xml:space="preserve"> </w:t>
    </w:r>
    <w:r>
      <w:rPr>
        <w:rStyle w:val="19"/>
        <w:rFonts w:hint="default"/>
        <w:w w:val="90"/>
      </w:rPr>
      <w:t xml:space="preserve">                   </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8DC"/>
    <w:rsid w:val="00004817"/>
    <w:rsid w:val="000146B2"/>
    <w:rsid w:val="00014A12"/>
    <w:rsid w:val="000214B6"/>
    <w:rsid w:val="00023330"/>
    <w:rsid w:val="0002531E"/>
    <w:rsid w:val="000277D0"/>
    <w:rsid w:val="0003138C"/>
    <w:rsid w:val="00032100"/>
    <w:rsid w:val="0003373A"/>
    <w:rsid w:val="00033BC0"/>
    <w:rsid w:val="00034576"/>
    <w:rsid w:val="00035FB9"/>
    <w:rsid w:val="000412F6"/>
    <w:rsid w:val="00045092"/>
    <w:rsid w:val="000510BA"/>
    <w:rsid w:val="0005199E"/>
    <w:rsid w:val="00052580"/>
    <w:rsid w:val="0005697E"/>
    <w:rsid w:val="000579CF"/>
    <w:rsid w:val="00060270"/>
    <w:rsid w:val="00061EE8"/>
    <w:rsid w:val="00061F6E"/>
    <w:rsid w:val="00082216"/>
    <w:rsid w:val="00082398"/>
    <w:rsid w:val="00083343"/>
    <w:rsid w:val="000849D2"/>
    <w:rsid w:val="00084DAD"/>
    <w:rsid w:val="000870FB"/>
    <w:rsid w:val="00092F91"/>
    <w:rsid w:val="00092FC8"/>
    <w:rsid w:val="00094791"/>
    <w:rsid w:val="000A067A"/>
    <w:rsid w:val="000A30F9"/>
    <w:rsid w:val="000A3C0F"/>
    <w:rsid w:val="000A5E44"/>
    <w:rsid w:val="000A6B86"/>
    <w:rsid w:val="000B1394"/>
    <w:rsid w:val="000B3731"/>
    <w:rsid w:val="000B40BD"/>
    <w:rsid w:val="000B6EAD"/>
    <w:rsid w:val="000C123B"/>
    <w:rsid w:val="000C25C3"/>
    <w:rsid w:val="000C2D5B"/>
    <w:rsid w:val="000C3052"/>
    <w:rsid w:val="000D4F09"/>
    <w:rsid w:val="000D5401"/>
    <w:rsid w:val="000D697A"/>
    <w:rsid w:val="000D6B2F"/>
    <w:rsid w:val="000D6F8E"/>
    <w:rsid w:val="000E2B69"/>
    <w:rsid w:val="000E355F"/>
    <w:rsid w:val="000E4402"/>
    <w:rsid w:val="000E7EF7"/>
    <w:rsid w:val="000F35F1"/>
    <w:rsid w:val="000F38E4"/>
    <w:rsid w:val="000F7D53"/>
    <w:rsid w:val="001022F1"/>
    <w:rsid w:val="001037D5"/>
    <w:rsid w:val="00106F20"/>
    <w:rsid w:val="001070F3"/>
    <w:rsid w:val="001076D1"/>
    <w:rsid w:val="00120749"/>
    <w:rsid w:val="00123A35"/>
    <w:rsid w:val="00124A78"/>
    <w:rsid w:val="00132572"/>
    <w:rsid w:val="00135F92"/>
    <w:rsid w:val="00136E61"/>
    <w:rsid w:val="00140192"/>
    <w:rsid w:val="00145688"/>
    <w:rsid w:val="001456CB"/>
    <w:rsid w:val="001462CD"/>
    <w:rsid w:val="00147922"/>
    <w:rsid w:val="00147EDB"/>
    <w:rsid w:val="0015649B"/>
    <w:rsid w:val="001564F9"/>
    <w:rsid w:val="0016112C"/>
    <w:rsid w:val="001662A1"/>
    <w:rsid w:val="001677C1"/>
    <w:rsid w:val="00170B6A"/>
    <w:rsid w:val="0017204F"/>
    <w:rsid w:val="00176572"/>
    <w:rsid w:val="00176B5D"/>
    <w:rsid w:val="00181F3C"/>
    <w:rsid w:val="001833DD"/>
    <w:rsid w:val="00183631"/>
    <w:rsid w:val="00187C5A"/>
    <w:rsid w:val="001904AA"/>
    <w:rsid w:val="001918ED"/>
    <w:rsid w:val="00192A7F"/>
    <w:rsid w:val="00192B8F"/>
    <w:rsid w:val="001940FC"/>
    <w:rsid w:val="00194D96"/>
    <w:rsid w:val="001972C0"/>
    <w:rsid w:val="001A2D7F"/>
    <w:rsid w:val="001A3DF8"/>
    <w:rsid w:val="001A572D"/>
    <w:rsid w:val="001A7826"/>
    <w:rsid w:val="001B324E"/>
    <w:rsid w:val="001B36F4"/>
    <w:rsid w:val="001B5E73"/>
    <w:rsid w:val="001B6887"/>
    <w:rsid w:val="001B6E5E"/>
    <w:rsid w:val="001B700E"/>
    <w:rsid w:val="001C0776"/>
    <w:rsid w:val="001C2BC9"/>
    <w:rsid w:val="001C34EA"/>
    <w:rsid w:val="001C39CB"/>
    <w:rsid w:val="001D1D7C"/>
    <w:rsid w:val="001D2736"/>
    <w:rsid w:val="001D4AD8"/>
    <w:rsid w:val="001D54FF"/>
    <w:rsid w:val="001D5787"/>
    <w:rsid w:val="001D585E"/>
    <w:rsid w:val="001D7FCA"/>
    <w:rsid w:val="001E1974"/>
    <w:rsid w:val="001E312D"/>
    <w:rsid w:val="001E72C1"/>
    <w:rsid w:val="001F71E8"/>
    <w:rsid w:val="00202BC2"/>
    <w:rsid w:val="00214113"/>
    <w:rsid w:val="00215081"/>
    <w:rsid w:val="00222532"/>
    <w:rsid w:val="00235ED5"/>
    <w:rsid w:val="00237445"/>
    <w:rsid w:val="00240501"/>
    <w:rsid w:val="00245047"/>
    <w:rsid w:val="00245CB6"/>
    <w:rsid w:val="00246063"/>
    <w:rsid w:val="00253CBF"/>
    <w:rsid w:val="00262DC0"/>
    <w:rsid w:val="002651A6"/>
    <w:rsid w:val="002715B5"/>
    <w:rsid w:val="00274A55"/>
    <w:rsid w:val="002760CB"/>
    <w:rsid w:val="0027659A"/>
    <w:rsid w:val="002769EB"/>
    <w:rsid w:val="0028195E"/>
    <w:rsid w:val="00282AB8"/>
    <w:rsid w:val="002945D8"/>
    <w:rsid w:val="0029464B"/>
    <w:rsid w:val="002973F0"/>
    <w:rsid w:val="002975C1"/>
    <w:rsid w:val="002A0E6E"/>
    <w:rsid w:val="002A33CC"/>
    <w:rsid w:val="002A4A4F"/>
    <w:rsid w:val="002A62D8"/>
    <w:rsid w:val="002B1808"/>
    <w:rsid w:val="002C1ACE"/>
    <w:rsid w:val="002C303F"/>
    <w:rsid w:val="002C3E0D"/>
    <w:rsid w:val="002C60B0"/>
    <w:rsid w:val="002D2DA4"/>
    <w:rsid w:val="002D41FB"/>
    <w:rsid w:val="002E0587"/>
    <w:rsid w:val="002E1E1D"/>
    <w:rsid w:val="002E38A4"/>
    <w:rsid w:val="002E72F8"/>
    <w:rsid w:val="002F030C"/>
    <w:rsid w:val="002F1DCE"/>
    <w:rsid w:val="002F4D1B"/>
    <w:rsid w:val="003006E2"/>
    <w:rsid w:val="003120F5"/>
    <w:rsid w:val="00317401"/>
    <w:rsid w:val="00317FAF"/>
    <w:rsid w:val="0032112D"/>
    <w:rsid w:val="00326FC1"/>
    <w:rsid w:val="00330DBC"/>
    <w:rsid w:val="00336040"/>
    <w:rsid w:val="00337922"/>
    <w:rsid w:val="00340867"/>
    <w:rsid w:val="00342857"/>
    <w:rsid w:val="00350CBB"/>
    <w:rsid w:val="00351CD4"/>
    <w:rsid w:val="003608CB"/>
    <w:rsid w:val="00360D60"/>
    <w:rsid w:val="003627B6"/>
    <w:rsid w:val="003675FE"/>
    <w:rsid w:val="003708D5"/>
    <w:rsid w:val="0037587D"/>
    <w:rsid w:val="0037782E"/>
    <w:rsid w:val="0038061A"/>
    <w:rsid w:val="0038063B"/>
    <w:rsid w:val="00380837"/>
    <w:rsid w:val="00382EDD"/>
    <w:rsid w:val="003836CA"/>
    <w:rsid w:val="00386A98"/>
    <w:rsid w:val="00392D5A"/>
    <w:rsid w:val="003947A2"/>
    <w:rsid w:val="003A1E9C"/>
    <w:rsid w:val="003A2B40"/>
    <w:rsid w:val="003A57BB"/>
    <w:rsid w:val="003A62C3"/>
    <w:rsid w:val="003A715C"/>
    <w:rsid w:val="003B0E41"/>
    <w:rsid w:val="003B63F4"/>
    <w:rsid w:val="003B686D"/>
    <w:rsid w:val="003B6EB8"/>
    <w:rsid w:val="003C2A32"/>
    <w:rsid w:val="003D1723"/>
    <w:rsid w:val="003D470D"/>
    <w:rsid w:val="003D6BE3"/>
    <w:rsid w:val="003E0E52"/>
    <w:rsid w:val="003E2C93"/>
    <w:rsid w:val="003F20A5"/>
    <w:rsid w:val="003F6D4B"/>
    <w:rsid w:val="00400994"/>
    <w:rsid w:val="00400B96"/>
    <w:rsid w:val="00401C89"/>
    <w:rsid w:val="00402125"/>
    <w:rsid w:val="00405AA6"/>
    <w:rsid w:val="00405D57"/>
    <w:rsid w:val="00405D5F"/>
    <w:rsid w:val="00410914"/>
    <w:rsid w:val="00413DEB"/>
    <w:rsid w:val="00415AA3"/>
    <w:rsid w:val="00420650"/>
    <w:rsid w:val="00420C60"/>
    <w:rsid w:val="00424601"/>
    <w:rsid w:val="004254A5"/>
    <w:rsid w:val="00425914"/>
    <w:rsid w:val="0043032D"/>
    <w:rsid w:val="00430432"/>
    <w:rsid w:val="00433759"/>
    <w:rsid w:val="0043494E"/>
    <w:rsid w:val="00435641"/>
    <w:rsid w:val="00437127"/>
    <w:rsid w:val="00440BBC"/>
    <w:rsid w:val="004414A5"/>
    <w:rsid w:val="00441B50"/>
    <w:rsid w:val="004428CE"/>
    <w:rsid w:val="00456064"/>
    <w:rsid w:val="004563CB"/>
    <w:rsid w:val="004565BC"/>
    <w:rsid w:val="00456697"/>
    <w:rsid w:val="00463AD4"/>
    <w:rsid w:val="00463F22"/>
    <w:rsid w:val="00465CFE"/>
    <w:rsid w:val="00465FE1"/>
    <w:rsid w:val="0046696A"/>
    <w:rsid w:val="00475491"/>
    <w:rsid w:val="004869FB"/>
    <w:rsid w:val="00491735"/>
    <w:rsid w:val="00493DC8"/>
    <w:rsid w:val="00494A46"/>
    <w:rsid w:val="004A1070"/>
    <w:rsid w:val="004A3578"/>
    <w:rsid w:val="004A4AF8"/>
    <w:rsid w:val="004A7106"/>
    <w:rsid w:val="004B217F"/>
    <w:rsid w:val="004B3E7F"/>
    <w:rsid w:val="004C07FE"/>
    <w:rsid w:val="004C3A73"/>
    <w:rsid w:val="004C5731"/>
    <w:rsid w:val="004C5BFE"/>
    <w:rsid w:val="004C78A9"/>
    <w:rsid w:val="004C7A45"/>
    <w:rsid w:val="004D3E4C"/>
    <w:rsid w:val="004D55E7"/>
    <w:rsid w:val="004D62EF"/>
    <w:rsid w:val="004D631F"/>
    <w:rsid w:val="004E1FC0"/>
    <w:rsid w:val="004E5609"/>
    <w:rsid w:val="004E61BC"/>
    <w:rsid w:val="004F185D"/>
    <w:rsid w:val="004F1F2A"/>
    <w:rsid w:val="004F3000"/>
    <w:rsid w:val="005052B3"/>
    <w:rsid w:val="005056ED"/>
    <w:rsid w:val="00505819"/>
    <w:rsid w:val="005064D2"/>
    <w:rsid w:val="00513B4A"/>
    <w:rsid w:val="00515C94"/>
    <w:rsid w:val="00517E4C"/>
    <w:rsid w:val="00521BB1"/>
    <w:rsid w:val="00521CF0"/>
    <w:rsid w:val="00521DAB"/>
    <w:rsid w:val="00527341"/>
    <w:rsid w:val="00531857"/>
    <w:rsid w:val="0053208B"/>
    <w:rsid w:val="005345E9"/>
    <w:rsid w:val="00534814"/>
    <w:rsid w:val="00536930"/>
    <w:rsid w:val="00541AE2"/>
    <w:rsid w:val="00544CA6"/>
    <w:rsid w:val="00546D5F"/>
    <w:rsid w:val="00552BDE"/>
    <w:rsid w:val="005566FC"/>
    <w:rsid w:val="005571F6"/>
    <w:rsid w:val="00560A2A"/>
    <w:rsid w:val="00564E53"/>
    <w:rsid w:val="00571FB2"/>
    <w:rsid w:val="00576C70"/>
    <w:rsid w:val="005818F3"/>
    <w:rsid w:val="00583277"/>
    <w:rsid w:val="00592922"/>
    <w:rsid w:val="00592C3E"/>
    <w:rsid w:val="00597617"/>
    <w:rsid w:val="005A000F"/>
    <w:rsid w:val="005B173D"/>
    <w:rsid w:val="005B6888"/>
    <w:rsid w:val="005C0F1E"/>
    <w:rsid w:val="005D1287"/>
    <w:rsid w:val="005D1D88"/>
    <w:rsid w:val="005D5B03"/>
    <w:rsid w:val="005D5F6F"/>
    <w:rsid w:val="005E29C1"/>
    <w:rsid w:val="005E4182"/>
    <w:rsid w:val="005F4B58"/>
    <w:rsid w:val="005F4B89"/>
    <w:rsid w:val="005F522D"/>
    <w:rsid w:val="005F6C65"/>
    <w:rsid w:val="005F6C93"/>
    <w:rsid w:val="00600F02"/>
    <w:rsid w:val="00601460"/>
    <w:rsid w:val="006014D4"/>
    <w:rsid w:val="0060444D"/>
    <w:rsid w:val="0061191A"/>
    <w:rsid w:val="00616BD6"/>
    <w:rsid w:val="00623037"/>
    <w:rsid w:val="00624222"/>
    <w:rsid w:val="00632DE1"/>
    <w:rsid w:val="00642776"/>
    <w:rsid w:val="00642D31"/>
    <w:rsid w:val="00643732"/>
    <w:rsid w:val="00644FE2"/>
    <w:rsid w:val="00645E5C"/>
    <w:rsid w:val="00645FB8"/>
    <w:rsid w:val="00651986"/>
    <w:rsid w:val="00652F53"/>
    <w:rsid w:val="00653DC7"/>
    <w:rsid w:val="006545E8"/>
    <w:rsid w:val="00660E81"/>
    <w:rsid w:val="00664736"/>
    <w:rsid w:val="00665980"/>
    <w:rsid w:val="006711B0"/>
    <w:rsid w:val="006744DC"/>
    <w:rsid w:val="0067640C"/>
    <w:rsid w:val="006836D9"/>
    <w:rsid w:val="00683BF6"/>
    <w:rsid w:val="0068548D"/>
    <w:rsid w:val="00691265"/>
    <w:rsid w:val="006946B4"/>
    <w:rsid w:val="00695256"/>
    <w:rsid w:val="00695570"/>
    <w:rsid w:val="006958B3"/>
    <w:rsid w:val="006969F1"/>
    <w:rsid w:val="00696AF1"/>
    <w:rsid w:val="006A3B31"/>
    <w:rsid w:val="006A68F3"/>
    <w:rsid w:val="006B0113"/>
    <w:rsid w:val="006B2AB0"/>
    <w:rsid w:val="006B2C63"/>
    <w:rsid w:val="006B39AA"/>
    <w:rsid w:val="006B4127"/>
    <w:rsid w:val="006B4E32"/>
    <w:rsid w:val="006B4F28"/>
    <w:rsid w:val="006C24BF"/>
    <w:rsid w:val="006C40B9"/>
    <w:rsid w:val="006C5B83"/>
    <w:rsid w:val="006D4DF7"/>
    <w:rsid w:val="006E4893"/>
    <w:rsid w:val="006E5BA5"/>
    <w:rsid w:val="006E6151"/>
    <w:rsid w:val="006E678B"/>
    <w:rsid w:val="006E762B"/>
    <w:rsid w:val="006F142F"/>
    <w:rsid w:val="0070367F"/>
    <w:rsid w:val="007042C6"/>
    <w:rsid w:val="00705251"/>
    <w:rsid w:val="00706392"/>
    <w:rsid w:val="00710655"/>
    <w:rsid w:val="00710688"/>
    <w:rsid w:val="00712F3C"/>
    <w:rsid w:val="00714FB1"/>
    <w:rsid w:val="007170AA"/>
    <w:rsid w:val="007175F5"/>
    <w:rsid w:val="00722B43"/>
    <w:rsid w:val="0072638A"/>
    <w:rsid w:val="00726642"/>
    <w:rsid w:val="00732B66"/>
    <w:rsid w:val="0073447C"/>
    <w:rsid w:val="007378E4"/>
    <w:rsid w:val="00737C8F"/>
    <w:rsid w:val="007406DE"/>
    <w:rsid w:val="00740E7F"/>
    <w:rsid w:val="00743D92"/>
    <w:rsid w:val="00743E79"/>
    <w:rsid w:val="00744BEA"/>
    <w:rsid w:val="00746E3A"/>
    <w:rsid w:val="00751532"/>
    <w:rsid w:val="00751C37"/>
    <w:rsid w:val="00754C46"/>
    <w:rsid w:val="0075769B"/>
    <w:rsid w:val="007618BC"/>
    <w:rsid w:val="00765D3B"/>
    <w:rsid w:val="00772340"/>
    <w:rsid w:val="007737BA"/>
    <w:rsid w:val="00773989"/>
    <w:rsid w:val="007757F3"/>
    <w:rsid w:val="007815DC"/>
    <w:rsid w:val="007839F5"/>
    <w:rsid w:val="00787C80"/>
    <w:rsid w:val="00790D5E"/>
    <w:rsid w:val="00790FC6"/>
    <w:rsid w:val="00795FA6"/>
    <w:rsid w:val="0079602E"/>
    <w:rsid w:val="007A47FB"/>
    <w:rsid w:val="007A6E97"/>
    <w:rsid w:val="007B0EA9"/>
    <w:rsid w:val="007B106B"/>
    <w:rsid w:val="007B275D"/>
    <w:rsid w:val="007B35C5"/>
    <w:rsid w:val="007B668F"/>
    <w:rsid w:val="007C21B9"/>
    <w:rsid w:val="007D3188"/>
    <w:rsid w:val="007D7A37"/>
    <w:rsid w:val="007E6AEB"/>
    <w:rsid w:val="007E6B6E"/>
    <w:rsid w:val="007E7C11"/>
    <w:rsid w:val="007F01EC"/>
    <w:rsid w:val="007F6A62"/>
    <w:rsid w:val="007F7DF2"/>
    <w:rsid w:val="008015B9"/>
    <w:rsid w:val="00803706"/>
    <w:rsid w:val="0080433F"/>
    <w:rsid w:val="008079FA"/>
    <w:rsid w:val="00810D58"/>
    <w:rsid w:val="00814047"/>
    <w:rsid w:val="00815AF5"/>
    <w:rsid w:val="008160E3"/>
    <w:rsid w:val="00821B77"/>
    <w:rsid w:val="008343CB"/>
    <w:rsid w:val="00834F70"/>
    <w:rsid w:val="00835B31"/>
    <w:rsid w:val="00850591"/>
    <w:rsid w:val="008549CE"/>
    <w:rsid w:val="008575F9"/>
    <w:rsid w:val="00860122"/>
    <w:rsid w:val="00860162"/>
    <w:rsid w:val="008638DE"/>
    <w:rsid w:val="00863B20"/>
    <w:rsid w:val="008646DE"/>
    <w:rsid w:val="00864902"/>
    <w:rsid w:val="00864BE7"/>
    <w:rsid w:val="00865200"/>
    <w:rsid w:val="00871695"/>
    <w:rsid w:val="00881290"/>
    <w:rsid w:val="00884594"/>
    <w:rsid w:val="00885631"/>
    <w:rsid w:val="00886006"/>
    <w:rsid w:val="00890397"/>
    <w:rsid w:val="00891C25"/>
    <w:rsid w:val="00894200"/>
    <w:rsid w:val="008973EE"/>
    <w:rsid w:val="008A5C1F"/>
    <w:rsid w:val="008A7C7E"/>
    <w:rsid w:val="008A7FB6"/>
    <w:rsid w:val="008B21BA"/>
    <w:rsid w:val="008B4EE2"/>
    <w:rsid w:val="008B68E5"/>
    <w:rsid w:val="008B7644"/>
    <w:rsid w:val="008C199E"/>
    <w:rsid w:val="008C1CA5"/>
    <w:rsid w:val="008C519F"/>
    <w:rsid w:val="008C5B6D"/>
    <w:rsid w:val="008D089D"/>
    <w:rsid w:val="008D2CA3"/>
    <w:rsid w:val="008E0E14"/>
    <w:rsid w:val="008E6B41"/>
    <w:rsid w:val="008E792C"/>
    <w:rsid w:val="008F0B04"/>
    <w:rsid w:val="008F4922"/>
    <w:rsid w:val="008F6788"/>
    <w:rsid w:val="008F7C55"/>
    <w:rsid w:val="00901BAF"/>
    <w:rsid w:val="0091272B"/>
    <w:rsid w:val="00914A79"/>
    <w:rsid w:val="00915512"/>
    <w:rsid w:val="00930694"/>
    <w:rsid w:val="00932193"/>
    <w:rsid w:val="00932BE6"/>
    <w:rsid w:val="0093521F"/>
    <w:rsid w:val="0093786C"/>
    <w:rsid w:val="00945677"/>
    <w:rsid w:val="00945EBD"/>
    <w:rsid w:val="0095571F"/>
    <w:rsid w:val="00955B84"/>
    <w:rsid w:val="0095689B"/>
    <w:rsid w:val="009619EF"/>
    <w:rsid w:val="0096227D"/>
    <w:rsid w:val="00962F78"/>
    <w:rsid w:val="00964CF5"/>
    <w:rsid w:val="00965A0E"/>
    <w:rsid w:val="0096609F"/>
    <w:rsid w:val="00970DA2"/>
    <w:rsid w:val="00971600"/>
    <w:rsid w:val="00972B2C"/>
    <w:rsid w:val="009769AA"/>
    <w:rsid w:val="00984342"/>
    <w:rsid w:val="00987B01"/>
    <w:rsid w:val="0099013A"/>
    <w:rsid w:val="009910C2"/>
    <w:rsid w:val="0099301F"/>
    <w:rsid w:val="00995C07"/>
    <w:rsid w:val="00996310"/>
    <w:rsid w:val="009969D2"/>
    <w:rsid w:val="009973B4"/>
    <w:rsid w:val="009A1279"/>
    <w:rsid w:val="009A4973"/>
    <w:rsid w:val="009A4B5C"/>
    <w:rsid w:val="009B3649"/>
    <w:rsid w:val="009B4D68"/>
    <w:rsid w:val="009B4FB3"/>
    <w:rsid w:val="009B6AB3"/>
    <w:rsid w:val="009B7EB8"/>
    <w:rsid w:val="009C131F"/>
    <w:rsid w:val="009C2CA5"/>
    <w:rsid w:val="009D1075"/>
    <w:rsid w:val="009D1A3F"/>
    <w:rsid w:val="009D2F66"/>
    <w:rsid w:val="009D57CF"/>
    <w:rsid w:val="009D7E70"/>
    <w:rsid w:val="009E035A"/>
    <w:rsid w:val="009E2238"/>
    <w:rsid w:val="009E30DA"/>
    <w:rsid w:val="009E3D68"/>
    <w:rsid w:val="009E461A"/>
    <w:rsid w:val="009E6193"/>
    <w:rsid w:val="009E7DD1"/>
    <w:rsid w:val="009F7BFC"/>
    <w:rsid w:val="009F7EED"/>
    <w:rsid w:val="00A0091F"/>
    <w:rsid w:val="00A0615F"/>
    <w:rsid w:val="00A06235"/>
    <w:rsid w:val="00A0721A"/>
    <w:rsid w:val="00A138EC"/>
    <w:rsid w:val="00A13A49"/>
    <w:rsid w:val="00A23822"/>
    <w:rsid w:val="00A277F2"/>
    <w:rsid w:val="00A3538B"/>
    <w:rsid w:val="00A378F6"/>
    <w:rsid w:val="00A41F32"/>
    <w:rsid w:val="00A4254F"/>
    <w:rsid w:val="00A4482F"/>
    <w:rsid w:val="00A50B4B"/>
    <w:rsid w:val="00A52368"/>
    <w:rsid w:val="00A54B81"/>
    <w:rsid w:val="00A61009"/>
    <w:rsid w:val="00A648EC"/>
    <w:rsid w:val="00A7519D"/>
    <w:rsid w:val="00A801DE"/>
    <w:rsid w:val="00A811EC"/>
    <w:rsid w:val="00A81FD7"/>
    <w:rsid w:val="00A824AF"/>
    <w:rsid w:val="00A8505F"/>
    <w:rsid w:val="00A90A22"/>
    <w:rsid w:val="00A969B9"/>
    <w:rsid w:val="00A97734"/>
    <w:rsid w:val="00AA1858"/>
    <w:rsid w:val="00AA7F40"/>
    <w:rsid w:val="00AB41FC"/>
    <w:rsid w:val="00AB7D2F"/>
    <w:rsid w:val="00AC24B1"/>
    <w:rsid w:val="00AC260E"/>
    <w:rsid w:val="00AD145D"/>
    <w:rsid w:val="00AD20E6"/>
    <w:rsid w:val="00AD3ACD"/>
    <w:rsid w:val="00AD4BB3"/>
    <w:rsid w:val="00AD6F34"/>
    <w:rsid w:val="00AE020D"/>
    <w:rsid w:val="00AE4607"/>
    <w:rsid w:val="00AF0AAB"/>
    <w:rsid w:val="00AF156F"/>
    <w:rsid w:val="00AF3B58"/>
    <w:rsid w:val="00AF616B"/>
    <w:rsid w:val="00B034AD"/>
    <w:rsid w:val="00B04169"/>
    <w:rsid w:val="00B0685B"/>
    <w:rsid w:val="00B14206"/>
    <w:rsid w:val="00B22D22"/>
    <w:rsid w:val="00B23030"/>
    <w:rsid w:val="00B237B9"/>
    <w:rsid w:val="00B23CAA"/>
    <w:rsid w:val="00B2489D"/>
    <w:rsid w:val="00B375D2"/>
    <w:rsid w:val="00B410EE"/>
    <w:rsid w:val="00B44881"/>
    <w:rsid w:val="00B63BD0"/>
    <w:rsid w:val="00B72906"/>
    <w:rsid w:val="00B73B0E"/>
    <w:rsid w:val="00B73EA8"/>
    <w:rsid w:val="00B75B23"/>
    <w:rsid w:val="00B8202D"/>
    <w:rsid w:val="00B82181"/>
    <w:rsid w:val="00B826F3"/>
    <w:rsid w:val="00B91271"/>
    <w:rsid w:val="00B91605"/>
    <w:rsid w:val="00B91895"/>
    <w:rsid w:val="00B929FD"/>
    <w:rsid w:val="00B94467"/>
    <w:rsid w:val="00B95B99"/>
    <w:rsid w:val="00B95F69"/>
    <w:rsid w:val="00B95F75"/>
    <w:rsid w:val="00BA3464"/>
    <w:rsid w:val="00BA4A2A"/>
    <w:rsid w:val="00BB6AD3"/>
    <w:rsid w:val="00BC0122"/>
    <w:rsid w:val="00BC16C1"/>
    <w:rsid w:val="00BC2015"/>
    <w:rsid w:val="00BC66FE"/>
    <w:rsid w:val="00BC71B0"/>
    <w:rsid w:val="00BD16AB"/>
    <w:rsid w:val="00BD4E08"/>
    <w:rsid w:val="00BD6DBC"/>
    <w:rsid w:val="00BE17FE"/>
    <w:rsid w:val="00BE363D"/>
    <w:rsid w:val="00BE3E2D"/>
    <w:rsid w:val="00BF4590"/>
    <w:rsid w:val="00BF597E"/>
    <w:rsid w:val="00C03098"/>
    <w:rsid w:val="00C046D1"/>
    <w:rsid w:val="00C10351"/>
    <w:rsid w:val="00C10EF3"/>
    <w:rsid w:val="00C14685"/>
    <w:rsid w:val="00C31C73"/>
    <w:rsid w:val="00C44328"/>
    <w:rsid w:val="00C5112E"/>
    <w:rsid w:val="00C513CB"/>
    <w:rsid w:val="00C51A36"/>
    <w:rsid w:val="00C548BE"/>
    <w:rsid w:val="00C55228"/>
    <w:rsid w:val="00C62031"/>
    <w:rsid w:val="00C67E19"/>
    <w:rsid w:val="00C67E47"/>
    <w:rsid w:val="00C70284"/>
    <w:rsid w:val="00C71E85"/>
    <w:rsid w:val="00C723C8"/>
    <w:rsid w:val="00C73C26"/>
    <w:rsid w:val="00C745AF"/>
    <w:rsid w:val="00C750BE"/>
    <w:rsid w:val="00C76A3E"/>
    <w:rsid w:val="00C81E93"/>
    <w:rsid w:val="00C86F9B"/>
    <w:rsid w:val="00C87FEE"/>
    <w:rsid w:val="00C90930"/>
    <w:rsid w:val="00C9113A"/>
    <w:rsid w:val="00C920A9"/>
    <w:rsid w:val="00C93340"/>
    <w:rsid w:val="00CB0154"/>
    <w:rsid w:val="00CB0D49"/>
    <w:rsid w:val="00CB127F"/>
    <w:rsid w:val="00CB260B"/>
    <w:rsid w:val="00CB3729"/>
    <w:rsid w:val="00CB43FE"/>
    <w:rsid w:val="00CB49F0"/>
    <w:rsid w:val="00CC2A01"/>
    <w:rsid w:val="00CC6864"/>
    <w:rsid w:val="00CD394A"/>
    <w:rsid w:val="00CD6C83"/>
    <w:rsid w:val="00CE0AA5"/>
    <w:rsid w:val="00CE2A9E"/>
    <w:rsid w:val="00CE315A"/>
    <w:rsid w:val="00CE4B8A"/>
    <w:rsid w:val="00CE7BE1"/>
    <w:rsid w:val="00CE7F7F"/>
    <w:rsid w:val="00CF1062"/>
    <w:rsid w:val="00CF147A"/>
    <w:rsid w:val="00CF1726"/>
    <w:rsid w:val="00CF5473"/>
    <w:rsid w:val="00CF5717"/>
    <w:rsid w:val="00CF5B83"/>
    <w:rsid w:val="00CF6C5C"/>
    <w:rsid w:val="00CF7295"/>
    <w:rsid w:val="00D004F0"/>
    <w:rsid w:val="00D06F59"/>
    <w:rsid w:val="00D14BD7"/>
    <w:rsid w:val="00D209B7"/>
    <w:rsid w:val="00D21AF9"/>
    <w:rsid w:val="00D3392D"/>
    <w:rsid w:val="00D34A3D"/>
    <w:rsid w:val="00D34C3B"/>
    <w:rsid w:val="00D379ED"/>
    <w:rsid w:val="00D37D1B"/>
    <w:rsid w:val="00D41F5E"/>
    <w:rsid w:val="00D429D7"/>
    <w:rsid w:val="00D42D53"/>
    <w:rsid w:val="00D55E69"/>
    <w:rsid w:val="00D562F6"/>
    <w:rsid w:val="00D7313F"/>
    <w:rsid w:val="00D74FBF"/>
    <w:rsid w:val="00D7717E"/>
    <w:rsid w:val="00D80770"/>
    <w:rsid w:val="00D82AE9"/>
    <w:rsid w:val="00D83050"/>
    <w:rsid w:val="00D8388C"/>
    <w:rsid w:val="00D90417"/>
    <w:rsid w:val="00D905B1"/>
    <w:rsid w:val="00D922EF"/>
    <w:rsid w:val="00D94B75"/>
    <w:rsid w:val="00D96826"/>
    <w:rsid w:val="00D97182"/>
    <w:rsid w:val="00DA0DF0"/>
    <w:rsid w:val="00DA1393"/>
    <w:rsid w:val="00DB1D00"/>
    <w:rsid w:val="00DC61A0"/>
    <w:rsid w:val="00DD10DC"/>
    <w:rsid w:val="00DD11F9"/>
    <w:rsid w:val="00DD1C8E"/>
    <w:rsid w:val="00DD1D21"/>
    <w:rsid w:val="00DD2028"/>
    <w:rsid w:val="00DD644F"/>
    <w:rsid w:val="00DD7876"/>
    <w:rsid w:val="00DE146D"/>
    <w:rsid w:val="00DE2D80"/>
    <w:rsid w:val="00DE339A"/>
    <w:rsid w:val="00DE6FCE"/>
    <w:rsid w:val="00DF1C4B"/>
    <w:rsid w:val="00DF6570"/>
    <w:rsid w:val="00DF76DB"/>
    <w:rsid w:val="00E00EC5"/>
    <w:rsid w:val="00E02804"/>
    <w:rsid w:val="00E038E4"/>
    <w:rsid w:val="00E0475D"/>
    <w:rsid w:val="00E0521C"/>
    <w:rsid w:val="00E070B7"/>
    <w:rsid w:val="00E07DDE"/>
    <w:rsid w:val="00E11CD7"/>
    <w:rsid w:val="00E13D9A"/>
    <w:rsid w:val="00E14BA9"/>
    <w:rsid w:val="00E16755"/>
    <w:rsid w:val="00E221C3"/>
    <w:rsid w:val="00E31F2E"/>
    <w:rsid w:val="00E32D13"/>
    <w:rsid w:val="00E357F3"/>
    <w:rsid w:val="00E43822"/>
    <w:rsid w:val="00E43A35"/>
    <w:rsid w:val="00E457E0"/>
    <w:rsid w:val="00E45C87"/>
    <w:rsid w:val="00E54035"/>
    <w:rsid w:val="00E5717A"/>
    <w:rsid w:val="00E62996"/>
    <w:rsid w:val="00E63714"/>
    <w:rsid w:val="00E64A51"/>
    <w:rsid w:val="00E6527A"/>
    <w:rsid w:val="00E676F9"/>
    <w:rsid w:val="00E67C09"/>
    <w:rsid w:val="00E910C0"/>
    <w:rsid w:val="00E954BE"/>
    <w:rsid w:val="00E95637"/>
    <w:rsid w:val="00E97424"/>
    <w:rsid w:val="00EA55F7"/>
    <w:rsid w:val="00EA5870"/>
    <w:rsid w:val="00EB0164"/>
    <w:rsid w:val="00EB2106"/>
    <w:rsid w:val="00EB5DF5"/>
    <w:rsid w:val="00EB65F7"/>
    <w:rsid w:val="00EC42F5"/>
    <w:rsid w:val="00ED0F62"/>
    <w:rsid w:val="00ED49CB"/>
    <w:rsid w:val="00EE5CD9"/>
    <w:rsid w:val="00EE6190"/>
    <w:rsid w:val="00EE6713"/>
    <w:rsid w:val="00EE6F50"/>
    <w:rsid w:val="00EF29B6"/>
    <w:rsid w:val="00EF3569"/>
    <w:rsid w:val="00EF36E7"/>
    <w:rsid w:val="00F06B25"/>
    <w:rsid w:val="00F06D09"/>
    <w:rsid w:val="00F079BB"/>
    <w:rsid w:val="00F11201"/>
    <w:rsid w:val="00F115BF"/>
    <w:rsid w:val="00F14D99"/>
    <w:rsid w:val="00F2038C"/>
    <w:rsid w:val="00F25AFF"/>
    <w:rsid w:val="00F31E8A"/>
    <w:rsid w:val="00F32CB9"/>
    <w:rsid w:val="00F33729"/>
    <w:rsid w:val="00F3372A"/>
    <w:rsid w:val="00F35CD7"/>
    <w:rsid w:val="00F3666E"/>
    <w:rsid w:val="00F36BE9"/>
    <w:rsid w:val="00F377A9"/>
    <w:rsid w:val="00F41617"/>
    <w:rsid w:val="00F42776"/>
    <w:rsid w:val="00F44D4E"/>
    <w:rsid w:val="00F47878"/>
    <w:rsid w:val="00F55DB9"/>
    <w:rsid w:val="00F606E1"/>
    <w:rsid w:val="00F66C77"/>
    <w:rsid w:val="00F6739D"/>
    <w:rsid w:val="00F70253"/>
    <w:rsid w:val="00F756B1"/>
    <w:rsid w:val="00F76276"/>
    <w:rsid w:val="00F83639"/>
    <w:rsid w:val="00F83EB6"/>
    <w:rsid w:val="00F840C3"/>
    <w:rsid w:val="00F856F5"/>
    <w:rsid w:val="00F8598C"/>
    <w:rsid w:val="00F907ED"/>
    <w:rsid w:val="00F956F5"/>
    <w:rsid w:val="00F97505"/>
    <w:rsid w:val="00FA0833"/>
    <w:rsid w:val="00FA2988"/>
    <w:rsid w:val="00FA350D"/>
    <w:rsid w:val="00FB03C3"/>
    <w:rsid w:val="00FB150B"/>
    <w:rsid w:val="00FB5904"/>
    <w:rsid w:val="00FB5A65"/>
    <w:rsid w:val="00FB6C45"/>
    <w:rsid w:val="00FC01AB"/>
    <w:rsid w:val="00FC5A11"/>
    <w:rsid w:val="00FD0A28"/>
    <w:rsid w:val="00FD2869"/>
    <w:rsid w:val="00FD29DC"/>
    <w:rsid w:val="00FD5EE5"/>
    <w:rsid w:val="00FD72A6"/>
    <w:rsid w:val="00FD7D63"/>
    <w:rsid w:val="00FE09C9"/>
    <w:rsid w:val="00FE3DB1"/>
    <w:rsid w:val="00FE62BD"/>
    <w:rsid w:val="08D544C6"/>
    <w:rsid w:val="0AF30CFB"/>
    <w:rsid w:val="108219C2"/>
    <w:rsid w:val="15C47E54"/>
    <w:rsid w:val="18CD4DA9"/>
    <w:rsid w:val="191B60B6"/>
    <w:rsid w:val="1B4F31D6"/>
    <w:rsid w:val="21CA7F84"/>
    <w:rsid w:val="22CA6849"/>
    <w:rsid w:val="24A4118C"/>
    <w:rsid w:val="27D52B4D"/>
    <w:rsid w:val="29713633"/>
    <w:rsid w:val="2B0855E6"/>
    <w:rsid w:val="2CCA0279"/>
    <w:rsid w:val="300E679C"/>
    <w:rsid w:val="36D7376E"/>
    <w:rsid w:val="3BF502B5"/>
    <w:rsid w:val="3F185CE9"/>
    <w:rsid w:val="40785FF9"/>
    <w:rsid w:val="45316955"/>
    <w:rsid w:val="462C3E28"/>
    <w:rsid w:val="4D051B4B"/>
    <w:rsid w:val="4FF0324F"/>
    <w:rsid w:val="52020902"/>
    <w:rsid w:val="56287884"/>
    <w:rsid w:val="58355F38"/>
    <w:rsid w:val="5D1547F0"/>
    <w:rsid w:val="5EA12B9A"/>
    <w:rsid w:val="60FC244C"/>
    <w:rsid w:val="611150E3"/>
    <w:rsid w:val="63310C18"/>
    <w:rsid w:val="655E664E"/>
    <w:rsid w:val="664C1468"/>
    <w:rsid w:val="66BE0674"/>
    <w:rsid w:val="671B5AC7"/>
    <w:rsid w:val="69B95B43"/>
    <w:rsid w:val="6CAC7D0C"/>
    <w:rsid w:val="6E663F30"/>
    <w:rsid w:val="734B6D59"/>
    <w:rsid w:val="7356229F"/>
    <w:rsid w:val="76F01929"/>
    <w:rsid w:val="772E5D8D"/>
    <w:rsid w:val="77E5442D"/>
    <w:rsid w:val="795629CA"/>
    <w:rsid w:val="7AD84A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w:basedOn w:val="1"/>
    <w:link w:val="23"/>
    <w:unhideWhenUsed/>
    <w:qFormat/>
    <w:uiPriority w:val="99"/>
    <w:pPr>
      <w:spacing w:line="420" w:lineRule="exact"/>
    </w:pPr>
    <w:rPr>
      <w:sz w:val="24"/>
    </w:rPr>
  </w:style>
  <w:style w:type="paragraph" w:styleId="5">
    <w:name w:val="Normal Indent"/>
    <w:basedOn w:val="1"/>
    <w:qFormat/>
    <w:uiPriority w:val="0"/>
    <w:pPr>
      <w:adjustRightInd w:val="0"/>
      <w:spacing w:line="360" w:lineRule="atLeast"/>
      <w:ind w:left="480"/>
      <w:textAlignment w:val="baseline"/>
    </w:pPr>
    <w:rPr>
      <w:kern w:val="0"/>
    </w:rPr>
  </w:style>
  <w:style w:type="paragraph" w:styleId="6">
    <w:name w:val="Body Text Indent"/>
    <w:basedOn w:val="1"/>
    <w:qFormat/>
    <w:uiPriority w:val="0"/>
    <w:pPr>
      <w:spacing w:after="120"/>
      <w:ind w:left="420" w:leftChars="200"/>
    </w:pPr>
    <w:rPr>
      <w:rFonts w:ascii="Calibri" w:hAnsi="Calibri" w:eastAsia="宋体" w:cs="Times New Roman"/>
      <w:sz w:val="24"/>
      <w:szCs w:val="24"/>
      <w:lang w:val="en-US" w:eastAsia="zh-CN" w:bidi="ar-SA"/>
    </w:rPr>
  </w:style>
  <w:style w:type="paragraph" w:styleId="7">
    <w:name w:val="Plain Text"/>
    <w:basedOn w:val="1"/>
    <w:link w:val="24"/>
    <w:qFormat/>
    <w:uiPriority w:val="0"/>
    <w:rPr>
      <w:rFonts w:ascii="宋体" w:hAnsi="Courier New"/>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Title"/>
    <w:basedOn w:val="1"/>
    <w:link w:val="25"/>
    <w:qFormat/>
    <w:uiPriority w:val="0"/>
    <w:pPr>
      <w:widowControl/>
      <w:jc w:val="center"/>
    </w:pPr>
    <w:rPr>
      <w:rFonts w:ascii="Book Antiqua" w:hAnsi="Book Antiqua"/>
      <w:b/>
      <w:kern w:val="0"/>
      <w:sz w:val="31"/>
      <w:szCs w:val="31"/>
      <w:u w:val="single"/>
      <w:lang w:eastAsia="en-US"/>
    </w:rPr>
  </w:style>
  <w:style w:type="paragraph" w:styleId="11">
    <w:name w:val="Body Text First Indent 2"/>
    <w:basedOn w:val="6"/>
    <w:qFormat/>
    <w:uiPriority w:val="0"/>
    <w:pPr>
      <w:spacing w:after="120" w:line="240" w:lineRule="auto"/>
      <w:ind w:left="420" w:leftChars="200" w:firstLine="420" w:firstLineChars="200"/>
    </w:pPr>
    <w:rPr>
      <w:rFonts w:ascii="Times New Roman" w:hAnsi="Times New Roman" w:eastAsia="宋体" w:cs="Times New Roman"/>
      <w:sz w:val="24"/>
      <w:szCs w:val="24"/>
      <w:lang w:val="en-US" w:eastAsia="zh-CN" w:bidi="ar-SA"/>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表格文字"/>
    <w:basedOn w:val="1"/>
    <w:qFormat/>
    <w:uiPriority w:val="0"/>
    <w:pPr>
      <w:spacing w:before="25" w:after="25"/>
    </w:pPr>
    <w:rPr>
      <w:bCs/>
      <w:spacing w:val="10"/>
    </w:rPr>
  </w:style>
  <w:style w:type="character" w:customStyle="1" w:styleId="16">
    <w:name w:val="页眉 Char"/>
    <w:basedOn w:val="14"/>
    <w:link w:val="2"/>
    <w:qFormat/>
    <w:uiPriority w:val="0"/>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character" w:customStyle="1" w:styleId="20">
    <w:name w:val="fontstyle01"/>
    <w:basedOn w:val="14"/>
    <w:qFormat/>
    <w:uiPriority w:val="0"/>
    <w:rPr>
      <w:rFonts w:hint="eastAsia" w:ascii="宋体" w:hAnsi="宋体" w:eastAsia="宋体"/>
      <w:color w:val="000000"/>
      <w:sz w:val="24"/>
      <w:szCs w:val="24"/>
    </w:rPr>
  </w:style>
  <w:style w:type="character" w:customStyle="1" w:styleId="21">
    <w:name w:val="fontstyle21"/>
    <w:basedOn w:val="14"/>
    <w:qFormat/>
    <w:uiPriority w:val="0"/>
    <w:rPr>
      <w:rFonts w:hint="default" w:ascii="Times New Roman" w:hAnsi="Times New Roman" w:cs="Times New Roman"/>
      <w:color w:val="000000"/>
      <w:sz w:val="24"/>
      <w:szCs w:val="24"/>
    </w:rPr>
  </w:style>
  <w:style w:type="character" w:customStyle="1" w:styleId="22">
    <w:name w:val="标题 2 Char"/>
    <w:basedOn w:val="14"/>
    <w:link w:val="3"/>
    <w:qFormat/>
    <w:uiPriority w:val="9"/>
    <w:rPr>
      <w:rFonts w:asciiTheme="majorHAnsi" w:hAnsiTheme="majorHAnsi" w:eastAsiaTheme="majorEastAsia" w:cstheme="majorBidi"/>
      <w:b/>
      <w:bCs/>
      <w:kern w:val="2"/>
      <w:sz w:val="32"/>
      <w:szCs w:val="32"/>
    </w:rPr>
  </w:style>
  <w:style w:type="character" w:customStyle="1" w:styleId="23">
    <w:name w:val="正文文本 Char"/>
    <w:basedOn w:val="14"/>
    <w:link w:val="4"/>
    <w:qFormat/>
    <w:uiPriority w:val="99"/>
    <w:rPr>
      <w:rFonts w:ascii="Times New Roman" w:hAnsi="Times New Roman" w:eastAsia="宋体" w:cs="Times New Roman"/>
      <w:kern w:val="2"/>
      <w:sz w:val="24"/>
    </w:rPr>
  </w:style>
  <w:style w:type="character" w:customStyle="1" w:styleId="24">
    <w:name w:val="纯文本 Char"/>
    <w:basedOn w:val="14"/>
    <w:link w:val="7"/>
    <w:qFormat/>
    <w:uiPriority w:val="0"/>
    <w:rPr>
      <w:rFonts w:ascii="宋体" w:hAnsi="Courier New" w:eastAsia="宋体" w:cs="Times New Roman"/>
      <w:kern w:val="2"/>
      <w:sz w:val="21"/>
    </w:rPr>
  </w:style>
  <w:style w:type="character" w:customStyle="1" w:styleId="25">
    <w:name w:val="标题 Char"/>
    <w:basedOn w:val="14"/>
    <w:link w:val="10"/>
    <w:qFormat/>
    <w:uiPriority w:val="0"/>
    <w:rPr>
      <w:rFonts w:ascii="Book Antiqua" w:hAnsi="Book Antiqua" w:eastAsia="宋体" w:cs="Times New Roman"/>
      <w:b/>
      <w:sz w:val="31"/>
      <w:szCs w:val="31"/>
      <w:u w:val="single"/>
      <w:lang w:eastAsia="en-US"/>
    </w:rPr>
  </w:style>
  <w:style w:type="paragraph" w:styleId="26">
    <w:name w:val="List Paragraph"/>
    <w:basedOn w:val="1"/>
    <w:unhideWhenUsed/>
    <w:qFormat/>
    <w:uiPriority w:val="99"/>
    <w:pPr>
      <w:ind w:firstLine="420" w:firstLineChars="200"/>
    </w:pPr>
  </w:style>
  <w:style w:type="paragraph" w:customStyle="1" w:styleId="27">
    <w:name w:val="东方正文"/>
    <w:basedOn w:val="1"/>
    <w:qFormat/>
    <w:uiPriority w:val="0"/>
    <w:pPr>
      <w:spacing w:line="400" w:lineRule="exact"/>
      <w:ind w:left="284" w:right="284"/>
    </w:pPr>
    <w:rPr>
      <w:sz w:val="24"/>
    </w:rPr>
  </w:style>
  <w:style w:type="paragraph" w:customStyle="1" w:styleId="2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1124</Words>
  <Characters>6408</Characters>
  <Lines>53</Lines>
  <Paragraphs>15</Paragraphs>
  <TotalTime>1</TotalTime>
  <ScaleCrop>false</ScaleCrop>
  <LinksUpToDate>false</LinksUpToDate>
  <CharactersWithSpaces>7517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wangxianhua</cp:lastModifiedBy>
  <dcterms:modified xsi:type="dcterms:W3CDTF">2021-12-04T05:07:32Z</dcterms:modified>
  <cp:revision>1063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613C0CE86BAF4367A012EA383E43C68D</vt:lpwstr>
  </property>
</Properties>
</file>