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吴国英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2021-12-02</w:t>
            </w:r>
            <w:bookmarkStart w:id="0" w:name="_GoBack"/>
            <w:bookmarkEnd w:id="0"/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/8.2.4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rFonts w:hint="default"/>
                <w:color w:val="000000"/>
                <w:szCs w:val="21"/>
                <w:highlight w:val="none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</w:t>
            </w:r>
            <w:r>
              <w:rPr>
                <w:rFonts w:hint="default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与</w:t>
            </w:r>
            <w:r>
              <w:rPr>
                <w:rFonts w:hint="eastAsia"/>
                <w:b/>
                <w:bCs/>
                <w:szCs w:val="20"/>
                <w:highlight w:val="none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</w:rPr>
              <w:t>责相关的主要职责</w:t>
            </w:r>
            <w:r>
              <w:rPr>
                <w:rFonts w:hint="eastAsia"/>
                <w:b/>
                <w:bCs/>
                <w:szCs w:val="20"/>
                <w:highlight w:val="none"/>
              </w:rPr>
              <w:t>是</w:t>
            </w:r>
            <w:r>
              <w:rPr>
                <w:rFonts w:hint="eastAsia"/>
                <w:szCs w:val="20"/>
                <w:highlight w:val="none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负责对外部供方的评价、选择并实施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外部供方管理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根据顾客的订单需求安排采购计划，负责采购过程中的索证、以及采购过程中不合格品的管理等工作；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rFonts w:hint="default"/>
                <w:color w:val="000000"/>
                <w:szCs w:val="21"/>
                <w:highlight w:val="none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如：</w: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begin"/>
            </w:r>
            <w:r>
              <w:rPr>
                <w:rFonts w:hint="default" w:ascii="宋体" w:hAnsi="宋体"/>
                <w:szCs w:val="20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  <w:highlight w:val="none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end"/>
            </w:r>
            <w:r>
              <w:rPr>
                <w:rFonts w:hint="eastAsia"/>
                <w:szCs w:val="20"/>
                <w:highlight w:val="none"/>
              </w:rPr>
              <w:t>手册第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6.2条款</w:t>
            </w:r>
            <w:r>
              <w:rPr>
                <w:rFonts w:hint="eastAsia"/>
                <w:szCs w:val="20"/>
                <w:highlight w:val="none"/>
              </w:rPr>
              <w:t>、</w: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begin"/>
            </w:r>
            <w:r>
              <w:rPr>
                <w:rFonts w:hint="default" w:ascii="宋体" w:hAnsi="宋体"/>
                <w:szCs w:val="20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  <w:highlight w:val="none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end"/>
            </w:r>
            <w:r>
              <w:rPr>
                <w:rFonts w:hint="eastAsia"/>
                <w:szCs w:val="20"/>
                <w:highlight w:val="none"/>
              </w:rPr>
              <w:t>《食品安全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  <w:highlight w:val="none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本部门的分解目标实现情况的评价，及其测量方法是：</w:t>
            </w:r>
          </w:p>
          <w:tbl>
            <w:tblPr>
              <w:tblStyle w:val="9"/>
              <w:tblpPr w:leftFromText="180" w:rightFromText="180" w:vertAnchor="text" w:horzAnchor="page" w:tblpX="102" w:tblpY="290"/>
              <w:tblOverlap w:val="never"/>
              <w:tblW w:w="87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7"/>
              <w:gridCol w:w="2553"/>
              <w:gridCol w:w="25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食品安全目标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259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目标实际完成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val="en-US" w:eastAsia="zh-CN"/>
                    </w:rPr>
                    <w:t>2021.0</w:t>
                  </w: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val="en-US" w:eastAsia="zh-CN"/>
                    </w:rPr>
                    <w:t>-2021.</w:t>
                  </w: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合格供方评审率100%</w:t>
                  </w: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评审数/总数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  <w:t>×100%</w:t>
                  </w:r>
                </w:p>
              </w:tc>
              <w:tc>
                <w:tcPr>
                  <w:tcW w:w="25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pacing w:val="10"/>
                      <w:sz w:val="21"/>
                      <w:szCs w:val="21"/>
                    </w:rPr>
                    <w:t>采购主要原材料购进合格率100％</w:t>
                  </w: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  <w:t>合格次数/总次数×100%</w:t>
                  </w:r>
                </w:p>
              </w:tc>
              <w:tc>
                <w:tcPr>
                  <w:tcW w:w="25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5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1"/>
                      <w:highlight w:val="none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1"/>
                      <w:highlight w:val="none"/>
                    </w:rPr>
                  </w:pPr>
                </w:p>
              </w:tc>
              <w:tc>
                <w:tcPr>
                  <w:tcW w:w="259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目标已实现</w:t>
            </w:r>
            <w:r>
              <w:rPr>
                <w:rFonts w:hint="eastAsia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按照考核要求再实施中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F8.2</w:t>
            </w: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color w:val="FF0000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</w:t>
            </w:r>
            <w:r>
              <w:rPr>
                <w:rFonts w:hint="eastAsia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虫害控制服务</w:t>
            </w:r>
            <w:r>
              <w:rPr>
                <w:rFonts w:hint="eastAsia"/>
                <w:szCs w:val="20"/>
                <w:highlight w:val="none"/>
              </w:rPr>
              <w:t xml:space="preserve">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油烟机清洗服务  </w:t>
            </w: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电梯维保服务    </w:t>
            </w: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厨余垃圾清运  </w:t>
            </w:r>
            <w:r>
              <w:rPr>
                <w:rFonts w:hint="eastAsia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从《合格供方名单》中抽取下列证据：外部供方的初始评价和选择要求——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不充分，说明：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  <w:t xml:space="preserve">11家合格供方，未将厨余垃圾清运、食用酒精列入合格供方名单，已现场沟通        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泰兴爱食尚食品有限公司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豆制品类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91321283MA1YGJJR0J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SC12532128301651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有效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：——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产品检测报告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香干产品检测报告：HAPFD2111040702，检测指标：铅、大肠菌群、沙门氏菌、金黄色葡萄球菌等，报告日期：2021-11-29；检测单位：江苏环谱检测技术有限公司；检测结论：合格；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同时抽取油豆腐（豆制品）检测报告，结论同香干。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与供方签订供货合同，明确食品安全责任；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符合合格供方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供方评价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不符合合格供方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10"/>
              <w:tblpPr w:leftFromText="180" w:rightFromText="180" w:vertAnchor="text" w:horzAnchor="page" w:tblpX="120" w:tblpY="303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北京金川厨食品科技有限公司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调味品类、食用油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9111010982349546P</w:t>
                  </w:r>
                  <w:r>
                    <w:rPr>
                      <w:rFonts w:hint="eastAsia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JY11109061277059 </w:t>
                  </w:r>
                  <w:r>
                    <w:rPr>
                      <w:rFonts w:hint="eastAsia"/>
                      <w:szCs w:val="20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随机抽查产品检测报告：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海天上等耗油产品检测报告编号：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F21WT00711，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报告日期：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2021-03-05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，检测指标：多氯联苯、铬、甲基汞、无机砷、菌落总数、金黄色葡萄球菌、沙门氏菌等；检测单位：佛山市食品药品检验检测中心；检测结论：合格；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同时抽取：金标生抽（酿造酱油）、草菇老抽（酿造酱油）、成品一级大豆油、庆林红油郫县豆瓣、恒顺陈醋、精制食用盐的外检报告，结论同上；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与供方签订供货合同，明确食品安全责任；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10"/>
              <w:tblpPr w:leftFromText="180" w:rightFromText="180" w:vertAnchor="text" w:horzAnchor="page" w:tblpX="120" w:tblpY="303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常州市杨越农产品商贸有限公司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果蔬类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91320404MA21RUA980</w:t>
                  </w:r>
                  <w:r>
                    <w:rPr>
                      <w:rFonts w:hint="eastAsia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有效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签订有服务合同；农残自测，检测证据“见质量部审核记录”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10"/>
              <w:tblpPr w:leftFromText="180" w:rightFromText="180" w:vertAnchor="text" w:horzAnchor="page" w:tblpX="120" w:tblpY="303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泰州蓝得环保科技有限公司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厨余垃圾清运服务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91321200MA1MDX2W41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u w:val="single"/>
                    </w:rPr>
                    <w:t>《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台州市餐厨废弃物收集、运输、处置服务许可证</w:t>
                  </w:r>
                  <w:r>
                    <w:rPr>
                      <w:rFonts w:hint="eastAsia"/>
                      <w:szCs w:val="20"/>
                      <w:u w:val="single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泰餐废许字【2020】-0001号</w:t>
                  </w:r>
                  <w:r>
                    <w:rPr>
                      <w:rFonts w:hint="eastAsia"/>
                      <w:szCs w:val="20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已签订协议/合同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u w:val="single"/>
                <w:lang w:val="en-US" w:eastAsia="zh-CN"/>
              </w:rPr>
              <w:t xml:space="preserve"> 四喜丸子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如东明庄食品有限公司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鸡蛋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泰兴市优久家禽养殖专业合作社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冷冻鸡肉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正大食品(南通）有限公司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季铵盐消毒液、次氯酸钠消毒剂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山东特姆化工科技有限公司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猪肉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江苏百汇农业发展有限公司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食用酒精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河南鑫河酒精有限公司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大米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江苏恒悦定制大米有限公司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highlight w:val="yellow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  <w:t>《 供方业绩评定表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常州市杨越农产品商贸有限公司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果蔬类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highlight w:val="yellow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highlight w:val="yellow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北京金川厨食品科技有限公司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调味品类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highlight w:val="yellow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大米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江苏恒悦定制大米有限公司 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鸡蛋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泰州市三信电梯有限公司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与上述供方评价和选择控制情况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原料分类存放，大米、食用油等隔墙离地；蔬菜存放在冷藏库中，隔墙离地；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蔬菜类、畜禽肉类当日采买当日使用；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3D965FB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45FD0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451AD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31023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883127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2B54F5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A93C99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7D46B2"/>
    <w:rsid w:val="35994264"/>
    <w:rsid w:val="35D721CD"/>
    <w:rsid w:val="35F83491"/>
    <w:rsid w:val="36174333"/>
    <w:rsid w:val="3623081B"/>
    <w:rsid w:val="362B5212"/>
    <w:rsid w:val="364A3F09"/>
    <w:rsid w:val="366070C2"/>
    <w:rsid w:val="367A501B"/>
    <w:rsid w:val="36C91110"/>
    <w:rsid w:val="36EE2556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DA4CA8"/>
    <w:rsid w:val="38EC325F"/>
    <w:rsid w:val="39065B84"/>
    <w:rsid w:val="39286E54"/>
    <w:rsid w:val="394037CA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1FA351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C37C1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9A1D0D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7DA3938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517E8D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C33556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4543B2"/>
    <w:rsid w:val="5A67161C"/>
    <w:rsid w:val="5A6A20C5"/>
    <w:rsid w:val="5A98792C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9277EC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03FAB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7F4212"/>
    <w:rsid w:val="6C9C2F85"/>
    <w:rsid w:val="6CDE17FD"/>
    <w:rsid w:val="6CF21452"/>
    <w:rsid w:val="6D1D2C91"/>
    <w:rsid w:val="6D232D3C"/>
    <w:rsid w:val="6D2F5D1E"/>
    <w:rsid w:val="6D5B4A2E"/>
    <w:rsid w:val="6D6C5E13"/>
    <w:rsid w:val="6D792112"/>
    <w:rsid w:val="6DA004EB"/>
    <w:rsid w:val="6DB01E48"/>
    <w:rsid w:val="6DE309B5"/>
    <w:rsid w:val="6E312D5E"/>
    <w:rsid w:val="6E641038"/>
    <w:rsid w:val="6EB36C33"/>
    <w:rsid w:val="6EBD0EA6"/>
    <w:rsid w:val="6F2E7208"/>
    <w:rsid w:val="6F435405"/>
    <w:rsid w:val="6F4810D8"/>
    <w:rsid w:val="6F4E2A54"/>
    <w:rsid w:val="6F6D2BAA"/>
    <w:rsid w:val="6F9A4A47"/>
    <w:rsid w:val="6FDC792B"/>
    <w:rsid w:val="6FFC56F8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14B1D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Char"/>
    <w:basedOn w:val="11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5</TotalTime>
  <ScaleCrop>false</ScaleCrop>
  <LinksUpToDate>false</LinksUpToDate>
  <CharactersWithSpaces>6692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2021-12-06T13:04:14Z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425BB69DEFDA47C1BD2302A332FCB422</vt:lpwstr>
  </property>
</Properties>
</file>