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林克斯智能系统（成都）有限公司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Q:29.10.07,33.02.01,34.05.00</w:t>
            </w:r>
          </w:p>
          <w:p>
            <w:pPr>
              <w:spacing w:line="240" w:lineRule="exact"/>
              <w:jc w:val="center"/>
              <w:rPr>
                <w:b/>
                <w:color w:val="000000" w:themeColor="text1"/>
                <w:sz w:val="20"/>
                <w:szCs w:val="20"/>
              </w:rPr>
            </w:pPr>
            <w:r>
              <w:rPr>
                <w:b/>
                <w:color w:val="000000" w:themeColor="text1"/>
                <w:sz w:val="20"/>
                <w:szCs w:val="20"/>
              </w:rPr>
              <w:t>E:29.10.07,33.02.01,34.05.00</w:t>
            </w:r>
          </w:p>
          <w:p>
            <w:pPr>
              <w:spacing w:line="240" w:lineRule="exact"/>
              <w:jc w:val="center"/>
              <w:rPr>
                <w:b/>
                <w:color w:val="000000" w:themeColor="text1"/>
                <w:sz w:val="20"/>
                <w:szCs w:val="20"/>
              </w:rPr>
            </w:pPr>
            <w:r>
              <w:rPr>
                <w:b/>
                <w:color w:val="000000" w:themeColor="text1"/>
                <w:sz w:val="20"/>
                <w:szCs w:val="20"/>
              </w:rPr>
              <w:t>O:29.10.07,33.02.01,34.05.00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Q:29.10.07,33.02.01</w:t>
            </w:r>
          </w:p>
          <w:p>
            <w:pPr>
              <w:spacing w:line="240" w:lineRule="exact"/>
              <w:jc w:val="center"/>
              <w:rPr>
                <w:b/>
                <w:color w:val="000000" w:themeColor="text1"/>
                <w:sz w:val="20"/>
                <w:szCs w:val="20"/>
              </w:rPr>
            </w:pPr>
            <w:r>
              <w:rPr>
                <w:b/>
                <w:color w:val="000000" w:themeColor="text1"/>
                <w:sz w:val="20"/>
                <w:szCs w:val="20"/>
              </w:rPr>
              <w:t>E:29.10.07,33.02.01</w:t>
            </w:r>
          </w:p>
          <w:p>
            <w:pPr>
              <w:spacing w:line="240" w:lineRule="exact"/>
              <w:jc w:val="center"/>
              <w:rPr>
                <w:b/>
                <w:color w:val="000000" w:themeColor="text1"/>
                <w:sz w:val="20"/>
                <w:szCs w:val="20"/>
              </w:rPr>
            </w:pPr>
            <w:r>
              <w:rPr>
                <w:b/>
                <w:color w:val="000000" w:themeColor="text1"/>
                <w:sz w:val="20"/>
                <w:szCs w:val="20"/>
              </w:rPr>
              <w:t>O:29.10.07,33.02.01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14001:2015,O：ISO 45001：2018</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林克斯智能系统（成都）有限公司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中国（四川）自由贸易试验区成都高新区天府五街200号蓉创广场1号楼A区6、7层</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成都市高新区新国际会展中心世纪城路920号成达佳园2-2-26-3</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张政</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15503232345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由铭甫</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吕录</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Q：开关柜防凝露系统研发、销售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E：开关柜防凝露系统研发、销售及其所涉及的相关环境管理活动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O：开关柜防凝露系统研发、销售及其所涉及的相关职业健康安全管理活动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Q：29.10.07;33.02.01;34.05.00</w:t>
            </w:r>
          </w:p>
          <w:p>
            <w:pPr>
              <w:spacing w:line="320" w:lineRule="exact"/>
              <w:rPr>
                <w:rFonts w:ascii="宋体" w:hAnsi="宋体"/>
                <w:b/>
                <w:color w:val="000000" w:themeColor="text1"/>
                <w:sz w:val="20"/>
                <w:szCs w:val="20"/>
              </w:rPr>
            </w:pPr>
            <w:r>
              <w:rPr>
                <w:rFonts w:ascii="宋体" w:hAnsi="宋体"/>
                <w:b/>
                <w:color w:val="000000" w:themeColor="text1"/>
                <w:sz w:val="20"/>
                <w:szCs w:val="20"/>
              </w:rPr>
              <w:t>E：29.10.07;33.02.01;34.05.00</w:t>
            </w:r>
          </w:p>
          <w:p>
            <w:pPr>
              <w:spacing w:line="320" w:lineRule="exact"/>
              <w:rPr>
                <w:rFonts w:ascii="宋体" w:hAnsi="宋体"/>
                <w:b/>
                <w:color w:val="000000" w:themeColor="text1"/>
                <w:sz w:val="20"/>
                <w:szCs w:val="20"/>
              </w:rPr>
            </w:pPr>
            <w:r>
              <w:rPr>
                <w:rFonts w:ascii="宋体" w:hAnsi="宋体"/>
                <w:b/>
                <w:color w:val="000000" w:themeColor="text1"/>
                <w:sz w:val="20"/>
                <w:szCs w:val="20"/>
              </w:rPr>
              <w:t>O：29.10.07;33.02.01;34.05.00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2019-07-10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研发</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产品研发；不合格品控制；纠正和预防措施控制；策划管理；过程监控管理；产品验收管理；监视和测量设备管理；服务过程管理；设备设施管理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销售技术服务</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z w:val="20"/>
                <w:szCs w:val="20"/>
              </w:rPr>
            </w:pPr>
            <w:r>
              <w:rPr>
                <w:rFonts w:hint="eastAsia" w:ascii="宋体" w:hAnsi="宋体"/>
                <w:b/>
                <w:color w:val="000000" w:themeColor="text1"/>
                <w:sz w:val="20"/>
                <w:szCs w:val="20"/>
              </w:rPr>
              <w:t>合同管理；客户管理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采购部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采购管理；供方管理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FF0000"/>
                <w:szCs w:val="21"/>
              </w:rPr>
            </w:pPr>
            <w:r>
              <w:rPr>
                <w:rFonts w:hint="eastAsia" w:ascii="宋体" w:hAnsi="宋体"/>
                <w:szCs w:val="21"/>
              </w:rPr>
              <w:t>开关柜防凝露系统研发、销售</w:t>
            </w:r>
          </w:p>
        </w:tc>
        <w:tc>
          <w:tcPr>
            <w:tcW w:w="2519" w:type="dxa"/>
          </w:tcPr>
          <w:p>
            <w:pPr>
              <w:rPr>
                <w:b/>
                <w:szCs w:val="21"/>
              </w:rPr>
            </w:pPr>
            <w:r>
              <w:rPr>
                <w:rFonts w:hint="eastAsia" w:ascii="宋体" w:hAnsi="宋体"/>
                <w:szCs w:val="21"/>
                <w:highlight w:val="none"/>
              </w:rPr>
              <w:t>产品</w:t>
            </w:r>
            <w:r>
              <w:rPr>
                <w:rFonts w:hint="eastAsia" w:ascii="宋体" w:hAnsi="宋体"/>
                <w:szCs w:val="21"/>
                <w:highlight w:val="none"/>
                <w:lang w:eastAsia="zh-CN"/>
              </w:rPr>
              <w:t>研发</w:t>
            </w:r>
            <w:r>
              <w:rPr>
                <w:rFonts w:hint="eastAsia" w:ascii="宋体" w:hAnsi="宋体"/>
                <w:szCs w:val="21"/>
                <w:highlight w:val="none"/>
              </w:rPr>
              <w:t>、销售</w:t>
            </w:r>
          </w:p>
        </w:tc>
        <w:tc>
          <w:tcPr>
            <w:tcW w:w="1843" w:type="dxa"/>
          </w:tcPr>
          <w:p>
            <w:pPr>
              <w:rPr>
                <w:b/>
                <w:color w:val="000000" w:themeColor="text1"/>
                <w:szCs w:val="21"/>
              </w:rPr>
            </w:pPr>
          </w:p>
        </w:tc>
        <w:tc>
          <w:tcPr>
            <w:tcW w:w="3543" w:type="dxa"/>
          </w:tcPr>
          <w:p>
            <w:pPr>
              <w:spacing w:line="400" w:lineRule="exact"/>
              <w:rPr>
                <w:szCs w:val="21"/>
                <w:highlight w:val="none"/>
              </w:rPr>
            </w:pPr>
            <w:r>
              <w:rPr>
                <w:rFonts w:hint="eastAsia" w:ascii="宋体" w:hAnsi="宋体"/>
                <w:szCs w:val="21"/>
                <w:highlight w:val="none"/>
              </w:rPr>
              <w:t>开关柜防凝露系统</w:t>
            </w:r>
            <w:r>
              <w:rPr>
                <w:rFonts w:hint="eastAsia" w:ascii="宋体" w:hAnsi="宋体"/>
                <w:szCs w:val="21"/>
                <w:highlight w:val="none"/>
                <w:lang w:eastAsia="zh-CN"/>
              </w:rPr>
              <w:t>、合同协议</w:t>
            </w:r>
            <w:r>
              <w:rPr>
                <w:rFonts w:hint="eastAsia"/>
                <w:szCs w:val="21"/>
                <w:highlight w:val="none"/>
              </w:rPr>
              <w:t>等。</w:t>
            </w:r>
          </w:p>
          <w:p>
            <w:pPr>
              <w:spacing w:line="400" w:lineRule="exact"/>
              <w:rPr>
                <w:color w:val="454545"/>
                <w:szCs w:val="21"/>
              </w:rPr>
            </w:pPr>
          </w:p>
          <w:p>
            <w:pPr>
              <w:widowControl/>
              <w:jc w:val="left"/>
              <w:rPr>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FF0000"/>
                <w:sz w:val="20"/>
                <w:szCs w:val="20"/>
              </w:rPr>
            </w:pPr>
          </w:p>
        </w:tc>
        <w:tc>
          <w:tcPr>
            <w:tcW w:w="2519" w:type="dxa"/>
          </w:tcPr>
          <w:p>
            <w:pPr>
              <w:rPr>
                <w:b/>
                <w:color w:val="FF0000"/>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FF0000"/>
                <w:sz w:val="20"/>
                <w:szCs w:val="20"/>
              </w:rPr>
            </w:pPr>
          </w:p>
        </w:tc>
        <w:tc>
          <w:tcPr>
            <w:tcW w:w="2519" w:type="dxa"/>
          </w:tcPr>
          <w:p>
            <w:pPr>
              <w:rPr>
                <w:b/>
                <w:color w:val="FF0000"/>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4" w:leftChars="-337" w:hanging="544" w:hangingChars="271"/>
        <w:rPr>
          <w:b/>
          <w:color w:val="000000" w:themeColor="text1"/>
          <w:spacing w:val="-10"/>
          <w:szCs w:val="21"/>
        </w:rPr>
      </w:pPr>
      <w:r>
        <w:rPr>
          <w:rFonts w:hint="eastAsia" w:ascii="宋体" w:hAnsi="宋体"/>
          <w:b/>
          <w:color w:val="000000" w:themeColor="text1"/>
          <w:sz w:val="20"/>
          <w:szCs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7</w:t>
      </w:r>
      <w:r>
        <w:rPr>
          <w:rFonts w:hint="eastAsia"/>
          <w:b/>
          <w:color w:val="000000" w:themeColor="text1"/>
          <w:spacing w:val="-10"/>
          <w:szCs w:val="21"/>
        </w:rPr>
        <w:t>月</w:t>
      </w:r>
      <w:bookmarkStart w:id="20" w:name="OLE_LINK1"/>
      <w:r>
        <w:rPr>
          <w:rFonts w:hint="eastAsia"/>
          <w:b/>
          <w:color w:val="000000" w:themeColor="text1"/>
          <w:spacing w:val="-10"/>
          <w:szCs w:val="21"/>
          <w:u w:val="single"/>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hint="eastAsia" w:ascii="宋体" w:hAnsi="宋体"/>
                <w:szCs w:val="21"/>
              </w:rPr>
            </w:pPr>
            <w:r>
              <w:rPr>
                <w:rFonts w:hint="eastAsia" w:ascii="宋体" w:hAnsi="宋体"/>
                <w:szCs w:val="21"/>
              </w:rPr>
              <w:t>质量方针：“精益求精 质量为本”。</w:t>
            </w:r>
          </w:p>
          <w:p>
            <w:pPr>
              <w:rPr>
                <w:rFonts w:hint="eastAsia" w:ascii="宋体" w:hAnsi="宋体"/>
                <w:szCs w:val="21"/>
              </w:rPr>
            </w:pPr>
            <w:r>
              <w:rPr>
                <w:rFonts w:hint="eastAsia" w:ascii="宋体" w:hAnsi="宋体"/>
                <w:szCs w:val="21"/>
              </w:rPr>
              <w:t>环境方针：</w:t>
            </w:r>
            <w:r>
              <w:rPr>
                <w:rFonts w:hint="eastAsia" w:ascii="宋体" w:hAnsi="宋体"/>
                <w:szCs w:val="21"/>
                <w:lang w:eastAsia="zh-CN"/>
              </w:rPr>
              <w:t>“</w:t>
            </w:r>
            <w:r>
              <w:rPr>
                <w:rFonts w:hint="eastAsia" w:ascii="宋体" w:hAnsi="宋体"/>
                <w:szCs w:val="21"/>
              </w:rPr>
              <w:t>坚持走可持续发展之路，倡导绿色环保思想，遵守法律法规，从产品研发到服务的全过程中，实行污染预防和持续改进</w:t>
            </w:r>
            <w:r>
              <w:rPr>
                <w:rFonts w:hint="eastAsia" w:ascii="宋体" w:hAnsi="宋体"/>
                <w:szCs w:val="21"/>
                <w:lang w:eastAsia="zh-CN"/>
              </w:rPr>
              <w:t>”</w:t>
            </w:r>
            <w:r>
              <w:rPr>
                <w:rFonts w:hint="eastAsia" w:ascii="宋体" w:hAnsi="宋体"/>
                <w:szCs w:val="21"/>
              </w:rPr>
              <w:t>。</w:t>
            </w:r>
          </w:p>
          <w:p>
            <w:pPr>
              <w:rPr>
                <w:b/>
                <w:color w:val="000000" w:themeColor="text1"/>
              </w:rPr>
            </w:pPr>
            <w:r>
              <w:rPr>
                <w:rFonts w:hint="eastAsia" w:ascii="宋体" w:hAnsi="宋体"/>
                <w:szCs w:val="21"/>
              </w:rPr>
              <w:t>职业健康安全管理方针：</w:t>
            </w:r>
            <w:r>
              <w:rPr>
                <w:rFonts w:hint="eastAsia" w:ascii="宋体" w:hAnsi="宋体"/>
                <w:szCs w:val="21"/>
                <w:lang w:eastAsia="zh-CN"/>
              </w:rPr>
              <w:t>“</w:t>
            </w:r>
            <w:r>
              <w:rPr>
                <w:rFonts w:hint="eastAsia" w:ascii="宋体" w:hAnsi="宋体"/>
                <w:szCs w:val="21"/>
              </w:rPr>
              <w:t>保障健康、安全研发、以人为本、永续发展、遵守法规、持续改进</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质量管理体系过程有：合同评审、采购、研发、销售过程等。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其中关键过程有：研发、销售过程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研发、销售过程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（火灾、触电）</w:t>
            </w:r>
            <w:r>
              <w:rPr>
                <w:rFonts w:hint="eastAsia" w:ascii="宋体" w:hAnsi="宋体"/>
                <w:color w:val="000000" w:themeColor="text1"/>
              </w:rPr>
              <w:t>，与之相关的过程有</w:t>
            </w:r>
            <w:r>
              <w:rPr>
                <w:rFonts w:hint="eastAsia" w:ascii="宋体" w:hAnsi="宋体"/>
                <w:color w:val="000000" w:themeColor="text1"/>
                <w:lang w:eastAsia="zh-CN"/>
              </w:rPr>
              <w:t>研发、销售</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管理目标、指标的实现情况：</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产品交付合格率≥100%； 实际考核结果100%；</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顾客满意率≥96分； 实际考核结果96分；</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 合同按时完成率≥100%；实际考核结果100%；</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 废弃物分类收集处理率100%；实际考核结果100%；</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 职业病发生率为0；实际考核结果0；</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 重大安全事故和伤亡事故为0；实际考核结果0；</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 火灾事故为0；实际考核结果0；</w:t>
            </w:r>
          </w:p>
          <w:p>
            <w:pPr>
              <w:numPr>
                <w:ilvl w:val="0"/>
                <w:numId w:val="0"/>
              </w:numPr>
              <w:rPr>
                <w:rFonts w:ascii="宋体" w:hAnsi="宋体"/>
                <w:b/>
                <w:color w:val="000000" w:themeColor="text1"/>
              </w:rPr>
            </w:pPr>
            <w:r>
              <w:rPr>
                <w:rFonts w:hint="eastAsia" w:asciiTheme="minorEastAsia" w:hAnsiTheme="minorEastAsia" w:eastAsiaTheme="minorEastAsia" w:cstheme="minorEastAsia"/>
                <w:color w:val="000000"/>
                <w:sz w:val="21"/>
                <w:szCs w:val="21"/>
              </w:rPr>
              <w:t>8） 环境扰民投诉为0。实际考核结果0；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7</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开关柜防凝露系统研发、</w:t>
            </w:r>
            <w:r>
              <w:rPr>
                <w:rFonts w:hint="eastAsia" w:ascii="宋体" w:hAnsi="宋体"/>
                <w:szCs w:val="21"/>
                <w:lang w:eastAsia="zh-CN"/>
              </w:rPr>
              <w:t>销售</w:t>
            </w:r>
            <w:r>
              <w:rPr>
                <w:rFonts w:hint="eastAsia" w:ascii="宋体" w:hAnsi="宋体"/>
                <w:bCs/>
                <w:iCs/>
                <w:szCs w:val="22"/>
              </w:rPr>
              <w:t>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color w:val="000000" w:themeColor="text1"/>
                <w:sz w:val="20"/>
                <w:szCs w:val="20"/>
              </w:rPr>
              <w:t>办公</w:t>
            </w:r>
            <w:r>
              <w:rPr>
                <w:rFonts w:hint="eastAsia" w:ascii="宋体" w:hAnsi="宋体"/>
                <w:color w:val="000000" w:themeColor="text1"/>
                <w:sz w:val="20"/>
                <w:szCs w:val="20"/>
                <w:highlight w:val="none"/>
              </w:rPr>
              <w:t>面积</w:t>
            </w:r>
            <w:r>
              <w:rPr>
                <w:rFonts w:hint="eastAsia" w:ascii="宋体" w:hAnsi="宋体"/>
                <w:color w:val="000000" w:themeColor="text1"/>
                <w:sz w:val="20"/>
                <w:szCs w:val="20"/>
                <w:highlight w:val="none"/>
                <w:lang w:val="en-US" w:eastAsia="zh-CN"/>
              </w:rPr>
              <w:t>1</w:t>
            </w:r>
            <w:r>
              <w:rPr>
                <w:rFonts w:hint="eastAsia" w:ascii="宋体" w:hAnsi="宋体"/>
                <w:color w:val="000000" w:themeColor="text1"/>
                <w:sz w:val="20"/>
                <w:szCs w:val="20"/>
                <w:highlight w:val="none"/>
              </w:rPr>
              <w:t>00</w:t>
            </w:r>
            <w:r>
              <w:rPr>
                <w:rFonts w:hint="eastAsia" w:ascii="宋体" w:hAnsi="宋体" w:cs="宋体"/>
                <w:szCs w:val="21"/>
                <w:highlight w:val="none"/>
              </w:rPr>
              <w:t>平方米左右，</w:t>
            </w:r>
            <w:r>
              <w:rPr>
                <w:rFonts w:hint="eastAsia" w:ascii="宋体" w:hAnsi="宋体" w:cs="宋体"/>
                <w:szCs w:val="21"/>
              </w:rPr>
              <w:t>主要生产</w:t>
            </w:r>
            <w:r>
              <w:rPr>
                <w:rFonts w:hint="eastAsia" w:ascii="宋体" w:hAnsi="宋体" w:cs="宋体"/>
                <w:szCs w:val="21"/>
                <w:highlight w:val="none"/>
              </w:rPr>
              <w:t>设备包括：</w:t>
            </w:r>
            <w:r>
              <w:rPr>
                <w:rFonts w:hint="eastAsia"/>
                <w:highlight w:val="none"/>
                <w:lang w:eastAsia="zh-CN"/>
              </w:rPr>
              <w:t>电脑、办公设备、测试软件</w:t>
            </w:r>
            <w:r>
              <w:rPr>
                <w:rFonts w:hint="eastAsia" w:ascii="宋体" w:hAnsi="宋体"/>
                <w:szCs w:val="21"/>
                <w:highlight w:val="none"/>
              </w:rPr>
              <w:t>等</w:t>
            </w:r>
            <w:r>
              <w:rPr>
                <w:rFonts w:hint="eastAsia" w:ascii="宋体" w:hAnsi="宋体" w:cs="宋体"/>
                <w:szCs w:val="21"/>
                <w:highlight w:val="none"/>
              </w:rPr>
              <w:t>，可以满足</w:t>
            </w:r>
            <w:r>
              <w:rPr>
                <w:rFonts w:hint="eastAsia" w:ascii="宋体" w:hAnsi="宋体"/>
                <w:szCs w:val="21"/>
                <w:highlight w:val="none"/>
              </w:rPr>
              <w:t>开关柜防凝露系统研发、</w:t>
            </w:r>
            <w:r>
              <w:rPr>
                <w:rFonts w:hint="eastAsia" w:ascii="宋体" w:hAnsi="宋体"/>
                <w:szCs w:val="21"/>
                <w:highlight w:val="none"/>
                <w:lang w:eastAsia="zh-CN"/>
              </w:rPr>
              <w:t>销售</w:t>
            </w:r>
            <w:r>
              <w:rPr>
                <w:rFonts w:hint="eastAsia" w:ascii="宋体" w:hAnsi="宋体" w:cs="宋体"/>
                <w:szCs w:val="21"/>
                <w:highlight w:val="none"/>
              </w:rPr>
              <w:t>需要。对</w:t>
            </w:r>
            <w:r>
              <w:rPr>
                <w:rFonts w:hint="eastAsia" w:ascii="宋体" w:hAnsi="宋体" w:cs="宋体"/>
                <w:szCs w:val="21"/>
                <w:highlight w:val="none"/>
                <w:lang w:eastAsia="zh-CN"/>
              </w:rPr>
              <w:t>测试软件</w:t>
            </w:r>
            <w:r>
              <w:rPr>
                <w:rFonts w:hint="eastAsia" w:ascii="宋体" w:hAnsi="宋体" w:cs="宋体"/>
                <w:szCs w:val="21"/>
                <w:highlight w:val="none"/>
              </w:rPr>
              <w:t>采取</w:t>
            </w:r>
            <w:r>
              <w:rPr>
                <w:rFonts w:hint="eastAsia" w:ascii="宋体" w:hAnsi="宋体" w:cs="宋体"/>
                <w:szCs w:val="21"/>
                <w:highlight w:val="none"/>
                <w:lang w:eastAsia="zh-CN"/>
              </w:rPr>
              <w:t>自行</w:t>
            </w:r>
            <w:r>
              <w:rPr>
                <w:rFonts w:hint="eastAsia" w:ascii="宋体" w:hAnsi="宋体" w:cs="宋体"/>
                <w:szCs w:val="21"/>
                <w:highlight w:val="none"/>
              </w:rPr>
              <w:t>校准。特种设备：无。公司未建立信息管理系统用于生产和服务。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ascii="宋体" w:hAnsi="宋体" w:cs="宋体"/>
                <w:szCs w:val="21"/>
                <w:highlight w:val="green"/>
              </w:rPr>
            </w:pPr>
            <w:r>
              <w:rPr>
                <w:rFonts w:hint="eastAsia"/>
                <w:highlight w:val="none"/>
                <w:lang w:eastAsia="zh-CN"/>
              </w:rPr>
              <w:t>配备有测</w:t>
            </w:r>
            <w:r>
              <w:rPr>
                <w:rFonts w:hint="eastAsia"/>
                <w:szCs w:val="22"/>
                <w:highlight w:val="none"/>
                <w:lang w:eastAsia="zh-CN"/>
              </w:rPr>
              <w:t>试软件（</w:t>
            </w:r>
            <w:r>
              <w:rPr>
                <w:rFonts w:hint="eastAsia"/>
                <w:szCs w:val="22"/>
                <w:highlight w:val="none"/>
                <w:lang w:val="en-US" w:eastAsia="zh-CN"/>
              </w:rPr>
              <w:t>Visio 、Pycharm、HBuilder、Altium Designer 19</w:t>
            </w:r>
            <w:r>
              <w:rPr>
                <w:rFonts w:hint="eastAsia"/>
                <w:szCs w:val="22"/>
                <w:highlight w:val="none"/>
                <w:lang w:eastAsia="zh-CN"/>
              </w:rPr>
              <w:t>）</w:t>
            </w:r>
            <w:r>
              <w:rPr>
                <w:rFonts w:hint="eastAsia" w:ascii="宋体" w:hAnsi="宋体" w:cs="宋体"/>
                <w:szCs w:val="21"/>
                <w:highlight w:val="none"/>
                <w:shd w:val="clear" w:color="auto" w:fill="FFFFFF"/>
              </w:rPr>
              <w:t>等</w:t>
            </w:r>
            <w:r>
              <w:rPr>
                <w:rFonts w:hint="eastAsia" w:ascii="宋体" w:hAnsi="宋体" w:cs="宋体"/>
                <w:szCs w:val="21"/>
                <w:highlight w:val="none"/>
                <w:shd w:val="clear" w:color="auto" w:fill="FFFFFF"/>
                <w:lang w:eastAsia="zh-CN"/>
              </w:rPr>
              <w:t>、</w:t>
            </w:r>
            <w:r>
              <w:rPr>
                <w:rFonts w:hint="eastAsia"/>
                <w:highlight w:val="none"/>
                <w:lang w:eastAsia="zh-CN"/>
              </w:rPr>
              <w:t>测试软件采取企业</w:t>
            </w:r>
            <w:r>
              <w:rPr>
                <w:rFonts w:hint="eastAsia" w:ascii="宋体" w:hAnsi="宋体" w:cs="宋体"/>
                <w:szCs w:val="21"/>
                <w:highlight w:val="none"/>
                <w:shd w:val="clear" w:color="auto" w:fill="FFFFFF"/>
                <w:lang w:eastAsia="zh-CN"/>
              </w:rPr>
              <w:t>自校，每月一次，</w:t>
            </w:r>
            <w:r>
              <w:rPr>
                <w:rFonts w:hint="eastAsia" w:ascii="宋体" w:hAnsi="宋体" w:cs="宋体"/>
                <w:szCs w:val="21"/>
                <w:highlight w:val="none"/>
              </w:rPr>
              <w:t>能保证</w:t>
            </w:r>
            <w:r>
              <w:rPr>
                <w:rFonts w:hint="eastAsia" w:ascii="宋体" w:hAnsi="宋体"/>
                <w:szCs w:val="21"/>
                <w:highlight w:val="none"/>
              </w:rPr>
              <w:t>开关柜防凝露系统研发</w:t>
            </w:r>
            <w:r>
              <w:rPr>
                <w:rFonts w:hint="eastAsia" w:ascii="宋体" w:hAnsi="宋体" w:cs="宋体"/>
                <w:szCs w:val="21"/>
                <w:highlight w:val="none"/>
              </w:rPr>
              <w:t>的要求。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eastAsia" w:ascii="宋体" w:hAnsi="宋体" w:eastAsia="宋体"/>
                <w:sz w:val="20"/>
                <w:szCs w:val="20"/>
                <w:lang w:eastAsia="zh-CN"/>
              </w:rPr>
            </w:pPr>
            <w:r>
              <w:rPr>
                <w:rFonts w:hint="eastAsia" w:ascii="宋体" w:hAnsi="宋体"/>
                <w:sz w:val="20"/>
                <w:szCs w:val="20"/>
                <w:lang w:eastAsia="zh-CN"/>
              </w:rPr>
              <w:t>配电箱</w:t>
            </w:r>
            <w:r>
              <w:rPr>
                <w:rFonts w:hint="eastAsia" w:ascii="宋体" w:hAnsi="宋体"/>
                <w:sz w:val="20"/>
                <w:szCs w:val="20"/>
              </w:rPr>
              <w:t>、灭火器</w:t>
            </w:r>
            <w:r>
              <w:rPr>
                <w:rFonts w:hint="eastAsia" w:ascii="宋体" w:hAnsi="宋体"/>
                <w:sz w:val="20"/>
                <w:szCs w:val="2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w:t>
            </w:r>
            <w:r>
              <w:rPr>
                <w:rFonts w:hint="eastAsia" w:ascii="宋体" w:hAnsi="宋体" w:cs="宋体"/>
                <w:color w:val="000000"/>
                <w:szCs w:val="21"/>
                <w:highlight w:val="none"/>
              </w:rPr>
              <w:t>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2019年</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w:t>
            </w:r>
            <w:r>
              <w:rPr>
                <w:rFonts w:hint="eastAsia" w:ascii="宋体" w:hAnsi="宋体" w:cs="宋体"/>
                <w:color w:val="000000"/>
                <w:szCs w:val="21"/>
                <w:highlight w:val="none"/>
              </w:rPr>
              <w:t>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2019年</w:t>
            </w:r>
            <w:r>
              <w:rPr>
                <w:rFonts w:hint="eastAsia" w:ascii="宋体" w:hAnsi="宋体" w:cs="宋体"/>
                <w:szCs w:val="21"/>
                <w:highlight w:val="none"/>
                <w:lang w:val="en-US" w:eastAsia="zh-CN"/>
              </w:rPr>
              <w:t>10</w:t>
            </w:r>
            <w:r>
              <w:rPr>
                <w:rFonts w:hint="eastAsia" w:ascii="宋体" w:hAnsi="宋体" w:cs="宋体"/>
                <w:szCs w:val="21"/>
                <w:highlight w:val="none"/>
              </w:rPr>
              <w:t>月实施，满意度评价9</w:t>
            </w:r>
            <w:r>
              <w:rPr>
                <w:rFonts w:hint="eastAsia" w:ascii="宋体" w:hAnsi="宋体" w:cs="宋体"/>
                <w:szCs w:val="21"/>
                <w:highlight w:val="none"/>
                <w:lang w:val="en-US" w:eastAsia="zh-CN"/>
              </w:rPr>
              <w:t>6</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8日-9</w:t>
            </w:r>
            <w:r>
              <w:rPr>
                <w:rFonts w:hint="eastAsia" w:ascii="宋体" w:hAnsi="宋体"/>
                <w:szCs w:val="21"/>
              </w:rPr>
              <w:t>日，拟定了审核实施表，明确了内审范围，内审人员经培训合格上岗，能力满足要求，未出现审核本部门情况，内审不符合项1项，涉及</w:t>
            </w:r>
            <w:r>
              <w:rPr>
                <w:rFonts w:hint="eastAsia" w:ascii="宋体" w:hAnsi="宋体"/>
                <w:szCs w:val="21"/>
                <w:lang w:eastAsia="zh-CN"/>
              </w:rPr>
              <w:t>研发</w:t>
            </w:r>
            <w:r>
              <w:rPr>
                <w:rFonts w:hint="eastAsia" w:ascii="宋体" w:hAnsi="宋体"/>
                <w:szCs w:val="21"/>
              </w:rPr>
              <w:t>部</w:t>
            </w:r>
            <w:r>
              <w:rPr>
                <w:rFonts w:hint="eastAsia" w:ascii="宋体" w:hAnsi="宋体"/>
                <w:szCs w:val="21"/>
                <w:lang w:val="en-US" w:eastAsia="zh-CN"/>
              </w:rPr>
              <w:t>E/S8.2</w:t>
            </w:r>
            <w:r>
              <w:rPr>
                <w:rFonts w:hint="eastAsia" w:ascii="宋体" w:hAnsi="宋体"/>
                <w:szCs w:val="21"/>
              </w:rPr>
              <w:t>条款未能提供应急预案记录，针对该不符合项，已及时采取纠正措施后，经内审员验证关闭。内审的有效性需要改善。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 xml:space="preserve"> 1项；其中</w:t>
      </w:r>
      <w:r>
        <w:rPr>
          <w:b/>
          <w:highlight w:val="none"/>
        </w:rPr>
        <w:pict>
          <v:line id="直接连接符 1" o:spid="_x0000_s2052" o:spt="20" style="position:absolute;left:0pt;margin-left:210pt;margin-top:16.2pt;height:0pt;width:0pt;z-index:2516858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 项，一般不符合1 项，观察项0项，</w:t>
      </w:r>
      <w:r>
        <w:rPr>
          <w:rFonts w:hint="eastAsia"/>
          <w:b/>
          <w:color w:val="000000" w:themeColor="text1"/>
          <w:highlight w:val="none"/>
        </w:rPr>
        <w:t>分布在部门</w:t>
      </w:r>
      <w:r>
        <w:rPr>
          <w:rFonts w:hint="eastAsia"/>
          <w:b/>
          <w:color w:val="000000" w:themeColor="text1"/>
          <w:highlight w:val="none"/>
          <w:lang w:eastAsia="zh-CN"/>
        </w:rPr>
        <w:t>销售技术服务部</w:t>
      </w:r>
      <w:r>
        <w:rPr>
          <w:rFonts w:hint="eastAsia"/>
          <w:b/>
          <w:color w:val="000000" w:themeColor="text1"/>
          <w:highlight w:val="none"/>
        </w:rPr>
        <w:t>Q8.</w:t>
      </w:r>
      <w:r>
        <w:rPr>
          <w:rFonts w:hint="eastAsia"/>
          <w:b/>
          <w:color w:val="000000" w:themeColor="text1"/>
          <w:highlight w:val="none"/>
          <w:lang w:val="en-US" w:eastAsia="zh-CN"/>
        </w:rPr>
        <w:t>2</w:t>
      </w:r>
      <w:r>
        <w:rPr>
          <w:rFonts w:hint="eastAsia"/>
          <w:b/>
          <w:color w:val="000000" w:themeColor="text1"/>
          <w:highlight w:val="none"/>
        </w:rPr>
        <w:t>.</w:t>
      </w:r>
      <w:r>
        <w:rPr>
          <w:rFonts w:hint="eastAsia"/>
          <w:b/>
          <w:color w:val="000000" w:themeColor="text1"/>
          <w:highlight w:val="none"/>
          <w:lang w:val="en-US" w:eastAsia="zh-CN"/>
        </w:rPr>
        <w:t>3</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bookmarkStart w:id="22" w:name="_GoBack"/>
      <w:bookmarkEnd w:id="22"/>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ascii="宋体" w:hAnsi="宋体"/>
                <w:szCs w:val="21"/>
              </w:rPr>
              <w:t>开关柜防凝露系统研发、销售</w:t>
            </w:r>
            <w:r>
              <w:rPr>
                <w:rFonts w:hint="eastAsia" w:ascii="宋体" w:hAnsi="宋体"/>
                <w:szCs w:val="21"/>
                <w:lang w:eastAsia="zh-CN"/>
              </w:rPr>
              <w:t>。</w:t>
            </w:r>
          </w:p>
          <w:p>
            <w:pPr>
              <w:spacing w:line="320" w:lineRule="exact"/>
              <w:rPr>
                <w:rFonts w:ascii="宋体" w:hAnsi="宋体"/>
                <w:b/>
                <w:color w:val="000000" w:themeColor="text1"/>
                <w:u w:val="single"/>
              </w:rPr>
            </w:pPr>
          </w:p>
          <w:p>
            <w:pPr>
              <w:spacing w:line="320" w:lineRule="exact"/>
              <w:rPr>
                <w:rFonts w:hint="eastAsia" w:ascii="宋体" w:hAnsi="宋体" w:eastAsia="宋体"/>
                <w:b/>
                <w:color w:val="000000" w:themeColor="text1"/>
                <w:u w:val="single"/>
                <w:lang w:val="en-GB" w:eastAsia="zh-CN"/>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rPr>
              <w:t>开关柜防凝露系统研发、销售及其所涉及的相关环境管理活动</w:t>
            </w:r>
            <w:r>
              <w:rPr>
                <w:rFonts w:hint="eastAsia" w:ascii="宋体" w:hAnsi="宋体"/>
                <w:szCs w:val="21"/>
                <w:lang w:eastAsia="zh-CN"/>
              </w:rPr>
              <w:t>。</w:t>
            </w:r>
          </w:p>
          <w:p>
            <w:pPr>
              <w:spacing w:line="320" w:lineRule="exact"/>
              <w:rPr>
                <w:rFonts w:ascii="宋体" w:hAnsi="宋体"/>
                <w:b/>
                <w:color w:val="000000" w:themeColor="text1"/>
                <w:u w:val="single"/>
                <w:lang w:val="en-GB"/>
              </w:rPr>
            </w:pPr>
          </w:p>
          <w:p>
            <w:pPr>
              <w:spacing w:line="320" w:lineRule="exact"/>
              <w:rPr>
                <w:rFonts w:hint="eastAsia" w:ascii="宋体" w:hAnsi="宋体" w:eastAsia="宋体"/>
                <w:b/>
                <w:color w:val="000000" w:themeColor="text1"/>
                <w:u w:val="single"/>
                <w:lang w:val="en-GB" w:eastAsia="zh-CN"/>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Cs w:val="21"/>
              </w:rPr>
              <w:t xml:space="preserve">开关柜防凝露系统研发、销售及其所涉及的相关职业健康安全管理活动 </w:t>
            </w:r>
            <w:r>
              <w:rPr>
                <w:rFonts w:hint="eastAsia" w:ascii="宋体" w:hAnsi="宋体"/>
                <w:szCs w:val="21"/>
                <w:lang w:eastAsia="zh-CN"/>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2019 </w:t>
      </w:r>
      <w:r>
        <w:rPr>
          <w:rFonts w:hint="eastAsia"/>
          <w:b/>
          <w:color w:val="000000" w:themeColor="text1"/>
        </w:rPr>
        <w:t>年</w:t>
      </w:r>
      <w:r>
        <w:rPr>
          <w:rFonts w:hint="eastAsia"/>
          <w:b/>
          <w:color w:val="000000" w:themeColor="text1"/>
          <w:lang w:val="en-US" w:eastAsia="zh-CN"/>
        </w:rPr>
        <w:t>11</w:t>
      </w:r>
      <w:r>
        <w:rPr>
          <w:rFonts w:hint="eastAsia"/>
          <w:b/>
          <w:color w:val="000000" w:themeColor="text1"/>
        </w:rPr>
        <w:t xml:space="preserve"> 月 </w:t>
      </w:r>
      <w:r>
        <w:rPr>
          <w:rFonts w:hint="eastAsia"/>
          <w:b/>
          <w:color w:val="000000" w:themeColor="text1"/>
          <w:lang w:val="en-US" w:eastAsia="zh-CN"/>
        </w:rPr>
        <w:t>27</w:t>
      </w:r>
      <w:r>
        <w:rPr>
          <w:rFonts w:hint="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670196"/>
    <w:rsid w:val="123874A9"/>
    <w:rsid w:val="168D23D2"/>
    <w:rsid w:val="2E9F056E"/>
    <w:rsid w:val="59485B81"/>
    <w:rsid w:val="5CE34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5</TotalTime>
  <ScaleCrop>false</ScaleCrop>
  <LinksUpToDate>false</LinksUpToDate>
  <CharactersWithSpaces>5143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2019-11-27T02:29:40Z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