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F" w:rsidRPr="0004534E" w:rsidRDefault="00B529A0" w:rsidP="0004534E">
      <w:pPr>
        <w:jc w:val="center"/>
        <w:rPr>
          <w:rFonts w:ascii="楷体" w:eastAsia="楷体" w:hAnsi="楷体"/>
          <w:sz w:val="32"/>
          <w:szCs w:val="32"/>
        </w:rPr>
      </w:pPr>
      <w:r w:rsidRPr="0004534E">
        <w:rPr>
          <w:rFonts w:ascii="楷体" w:eastAsia="楷体" w:hAnsi="楷体" w:hint="eastAsia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637F" w:rsidRPr="0004534E">
        <w:trPr>
          <w:trHeight w:val="515"/>
        </w:trPr>
        <w:tc>
          <w:tcPr>
            <w:tcW w:w="2160" w:type="dxa"/>
            <w:vMerge w:val="restart"/>
            <w:vAlign w:val="center"/>
          </w:tcPr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受审核部门：供销部    主管领导/陪同人员：杨恩特</w:t>
            </w:r>
          </w:p>
        </w:tc>
        <w:tc>
          <w:tcPr>
            <w:tcW w:w="1585" w:type="dxa"/>
            <w:vMerge w:val="restart"/>
            <w:vAlign w:val="center"/>
          </w:tcPr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77637F" w:rsidRPr="0004534E">
        <w:trPr>
          <w:trHeight w:val="403"/>
        </w:trPr>
        <w:tc>
          <w:tcPr>
            <w:tcW w:w="2160" w:type="dxa"/>
            <w:vMerge/>
            <w:vAlign w:val="center"/>
          </w:tcPr>
          <w:p w:rsidR="0077637F" w:rsidRPr="0004534E" w:rsidRDefault="0077637F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04534E" w:rsidRDefault="0077637F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r w:rsidR="00CB28F5" w:rsidRPr="0004534E">
              <w:rPr>
                <w:rFonts w:ascii="楷体" w:eastAsia="楷体" w:hAnsi="楷体" w:cs="Arial" w:hint="eastAsia"/>
                <w:sz w:val="24"/>
                <w:szCs w:val="24"/>
              </w:rPr>
              <w:t>姜海军</w:t>
            </w: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 xml:space="preserve">     审核时间：202</w:t>
            </w:r>
            <w:r w:rsidR="00CB28F5" w:rsidRPr="0004534E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年12月</w:t>
            </w:r>
            <w:r w:rsidR="00CB28F5" w:rsidRPr="0004534E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77637F" w:rsidRPr="0004534E" w:rsidRDefault="0077637F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04534E">
        <w:trPr>
          <w:trHeight w:val="516"/>
        </w:trPr>
        <w:tc>
          <w:tcPr>
            <w:tcW w:w="2160" w:type="dxa"/>
            <w:vMerge/>
            <w:vAlign w:val="center"/>
          </w:tcPr>
          <w:p w:rsidR="0077637F" w:rsidRPr="0004534E" w:rsidRDefault="0077637F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77637F" w:rsidRPr="0004534E" w:rsidRDefault="0077637F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7637F" w:rsidRPr="0004534E" w:rsidRDefault="00B529A0" w:rsidP="0004534E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审核条款：Q：5.3组织的岗位、职责和权限、6.2质量目标、8.2产品和服务的要求、</w:t>
            </w:r>
            <w:r w:rsidR="006803CF" w:rsidRPr="0004534E">
              <w:rPr>
                <w:rFonts w:ascii="楷体" w:eastAsia="楷体" w:hAnsi="楷体" w:cs="Arial" w:hint="eastAsia"/>
                <w:sz w:val="24"/>
                <w:szCs w:val="24"/>
              </w:rPr>
              <w:t>8.4外部提供产品服务过程的控制、</w:t>
            </w:r>
            <w:r w:rsidRPr="0004534E">
              <w:rPr>
                <w:rFonts w:ascii="楷体" w:eastAsia="楷体" w:hAnsi="楷体" w:cs="Arial" w:hint="eastAsia"/>
                <w:sz w:val="24"/>
                <w:szCs w:val="24"/>
              </w:rPr>
              <w:t>8.5.3顾客或外部供方的财产、9.1.2顾客满意、8.5.5交付后的活动</w:t>
            </w:r>
          </w:p>
        </w:tc>
        <w:tc>
          <w:tcPr>
            <w:tcW w:w="1585" w:type="dxa"/>
            <w:vMerge/>
          </w:tcPr>
          <w:p w:rsidR="0077637F" w:rsidRPr="0004534E" w:rsidRDefault="0077637F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7637F" w:rsidRPr="0004534E">
        <w:trPr>
          <w:trHeight w:val="1255"/>
        </w:trPr>
        <w:tc>
          <w:tcPr>
            <w:tcW w:w="2160" w:type="dxa"/>
            <w:vAlign w:val="center"/>
          </w:tcPr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部门负责人：崔国强</w:t>
            </w:r>
          </w:p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查企业提供的资料见《职务/岗位说明书》中，规定了公司各个岗位的主要职责和相关要求。</w:t>
            </w:r>
          </w:p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供销部的主要</w:t>
            </w:r>
            <w:r w:rsidRPr="0004534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职责有：</w:t>
            </w:r>
            <w:r w:rsidR="00795933">
              <w:rPr>
                <w:rFonts w:ascii="楷体" w:eastAsia="楷体" w:hAnsi="楷体" w:hint="eastAsia"/>
                <w:sz w:val="24"/>
                <w:szCs w:val="24"/>
              </w:rPr>
              <w:t>了解顾客需求、产品销售、合同评审</w:t>
            </w:r>
            <w:r w:rsidRPr="0004534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等工作。</w:t>
            </w:r>
          </w:p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与负责人电话沟通，明确其基本职责和权限。</w:t>
            </w:r>
          </w:p>
        </w:tc>
        <w:tc>
          <w:tcPr>
            <w:tcW w:w="1585" w:type="dxa"/>
          </w:tcPr>
          <w:p w:rsidR="0077637F" w:rsidRPr="0004534E" w:rsidRDefault="00B529A0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359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66E46" w:rsidRPr="00142467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266E46" w:rsidRPr="00142467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42467">
              <w:rPr>
                <w:rFonts w:ascii="楷体" w:eastAsia="楷体" w:hAnsi="楷体" w:hint="eastAsia"/>
                <w:sz w:val="24"/>
                <w:szCs w:val="24"/>
              </w:rPr>
              <w:t xml:space="preserve">部门质量目标：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66E46" w:rsidRPr="008A0324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合同评审率：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266E46" w:rsidRPr="008A0324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合同履约率：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266E46" w:rsidRPr="008A0324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95%以上</w:t>
            </w:r>
          </w:p>
          <w:p w:rsidR="00266E46" w:rsidRPr="008A0324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采购及时率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98%以上</w:t>
            </w:r>
          </w:p>
          <w:p w:rsidR="00266E46" w:rsidRPr="008A0324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供方评价率：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  <w:t>100%</w:t>
            </w:r>
          </w:p>
          <w:p w:rsidR="00266E46" w:rsidRDefault="00266E46" w:rsidP="0096092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A0324">
              <w:rPr>
                <w:rFonts w:ascii="楷体" w:eastAsia="楷体" w:hAnsi="楷体" w:hint="eastAsia"/>
                <w:sz w:val="24"/>
                <w:szCs w:val="24"/>
              </w:rPr>
              <w:t>合格供方的比率：100%</w:t>
            </w:r>
            <w:r w:rsidRPr="008A0324">
              <w:rPr>
                <w:rFonts w:ascii="楷体" w:eastAsia="楷体" w:hAnsi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66E46" w:rsidRPr="00142467" w:rsidRDefault="00266E46" w:rsidP="00266E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Pr="00142467">
              <w:rPr>
                <w:rFonts w:ascii="楷体" w:eastAsia="楷体" w:hAnsi="楷体" w:hint="eastAsia"/>
                <w:sz w:val="24"/>
                <w:szCs w:val="24"/>
              </w:rPr>
              <w:t>考核，目标基本实现。考核人：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刘秀红，</w:t>
            </w:r>
            <w:bookmarkStart w:id="0" w:name="_GoBack"/>
            <w:bookmarkEnd w:id="0"/>
            <w:r w:rsidRPr="00142467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1.11.17日。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362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8.2.1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公司通过走访、电话、邮件等方式与顾客交流，主要进行以下沟通：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1、在产品交付中向顾客提供保证产品品质的有关信息。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2、接受顾客问询、询价、合同的处理。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362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8.2.2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产品销售合同：主要有口头协议订单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——合同编号：SD20200901 合同签订日期为 2020.09.02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 w:cs="宋体"/>
                <w:spacing w:val="57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供方：滨州启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邦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标牌有限公司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需方：CC（长城）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产品名称：标牌、标志、护栏、标志桩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技术要求：按照客户提供的要求进行生产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——合同编号：SD20200301 合同签订日期为 2020.10.03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 w:cs="宋体"/>
                <w:spacing w:val="57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供方：滨州启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邦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标牌有限公司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需方：BB（白博）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产品名称：标牌、标志、标志桩、护栏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技术要求：按照客户提供图纸和合同要求进行生产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362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8.2.3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8.2.4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查上述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合同的评审记录，提供《口头协议评审表》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评审日期：分别是2020.09.02、2020.10.03评审在合同签订之前进行。符合要求。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评审内容包括顾客要求是否在合同中进行明确规定、与合同不一致的要求是否得到解决、公司是否有能力满足合同要求、确定合同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签定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后能给组织带来利益、财务人员对付款方式进行评审5项。评审结果：同意。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公司目前暂无合同更改情况。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266E46" w:rsidRPr="0004534E">
        <w:trPr>
          <w:trHeight w:val="362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/>
                <w:sz w:val="24"/>
                <w:szCs w:val="24"/>
              </w:rPr>
              <w:t>8.4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编制了《外部提供的过程、产品和服务控制程序》，明确了根据销售订单，编制《采购计划》。对采购计划中重要物资进行定期合格供方评价，内容包括：产品质量、生产能力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>/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供货能力、品种、技术力量、工艺装备和检验手段、信誉和服务、产品的价格和交货及时性等内容。经由总经理确认后，纳入公司合格供方。提供有《合格供方名录》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合格供方名称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                      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供应产品名称</w:t>
            </w:r>
          </w:p>
          <w:p w:rsidR="00266E46" w:rsidRPr="0004534E" w:rsidRDefault="00266E46" w:rsidP="0004534E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山东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睿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康电气设备有限公司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           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铝塑板</w:t>
            </w:r>
          </w:p>
          <w:p w:rsidR="00266E46" w:rsidRPr="0004534E" w:rsidRDefault="00266E46" w:rsidP="0004534E">
            <w:pPr>
              <w:tabs>
                <w:tab w:val="left" w:pos="4602"/>
              </w:tabs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山东长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鑫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金属制品有限公司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ab/>
            </w:r>
            <w:r w:rsidRPr="0004534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文件柜，密集架</w:t>
            </w:r>
          </w:p>
          <w:p w:rsidR="00266E46" w:rsidRPr="0004534E" w:rsidRDefault="00266E46" w:rsidP="0004534E">
            <w:pPr>
              <w:tabs>
                <w:tab w:val="left" w:pos="4145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山东博帆电气科技有限公司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          </w:t>
            </w:r>
            <w:r w:rsidRPr="0004534E">
              <w:rPr>
                <w:rFonts w:ascii="楷体" w:eastAsia="楷体" w:hAnsi="楷体" w:cs="Arial"/>
                <w:color w:val="000000"/>
                <w:sz w:val="24"/>
                <w:szCs w:val="24"/>
              </w:rPr>
              <w:t>LED</w:t>
            </w:r>
            <w:r w:rsidRPr="0004534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显示屏，监控安防器材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/>
                <w:sz w:val="24"/>
                <w:szCs w:val="24"/>
              </w:rPr>
              <w:t>2020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>8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>1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日对以上进行调查及评价，出示评价记录。评价内容：产品质量、生产能力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>/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供货能力、品种、技术力量、工艺装备和检验手段、信誉和服务、产品的价格和交货及时性等；符合要求。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审核现场发现公司未能提供对外包方滨州启</w:t>
            </w:r>
            <w:proofErr w:type="gramStart"/>
            <w:r w:rsidRPr="0004534E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邦</w:t>
            </w:r>
            <w:proofErr w:type="gramEnd"/>
            <w:r w:rsidRPr="0004534E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标牌有限公司进行调查评价的证据，不符合要求。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2020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年月份采购计划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物品名称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    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采购厂家</w:t>
            </w:r>
          </w:p>
          <w:p w:rsidR="00266E46" w:rsidRPr="0004534E" w:rsidRDefault="00266E46" w:rsidP="0004534E">
            <w:pPr>
              <w:tabs>
                <w:tab w:val="left" w:pos="4160"/>
              </w:tabs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 xml:space="preserve">铝塑板     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500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 xml:space="preserve">         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山东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睿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康电气设备有限公司</w:t>
            </w:r>
            <w:r w:rsidRPr="0004534E">
              <w:rPr>
                <w:rFonts w:ascii="楷体" w:eastAsia="楷体" w:hAnsi="楷体"/>
                <w:sz w:val="24"/>
                <w:szCs w:val="24"/>
              </w:rPr>
              <w:tab/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66E46" w:rsidRPr="0004534E">
        <w:trPr>
          <w:trHeight w:val="1255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8.5.3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该公司顾客财产主要为顾客提供的技术要求及顾客的个人信息等，由供销部做好技术要求及个人信息保密工作。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查见《顾客财产清单》，内容包括：客户名称、提供的财产、、数量等信息。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1255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9.1.2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  <w:lang w:val="zh-CN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  <w:lang w:val="zh-CN"/>
              </w:rPr>
              <w:sym w:font="Wingdings 2" w:char="F098"/>
            </w:r>
            <w:r w:rsidRPr="0004534E">
              <w:rPr>
                <w:rFonts w:ascii="楷体" w:eastAsia="楷体" w:hAnsi="楷体" w:hint="eastAsia"/>
                <w:sz w:val="24"/>
                <w:szCs w:val="24"/>
                <w:lang w:val="zh-CN"/>
              </w:rPr>
              <w:t>提供“顾客满意度调查表”，调查主要内容：产品质量性能、交货及时性、产品使用说明、外观、售后服务，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各项得分求平均值得最终结果</w:t>
            </w:r>
            <w:r w:rsidRPr="0004534E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。抽查2份客户的满意度调查。</w:t>
            </w:r>
            <w:r w:rsidRPr="0004534E">
              <w:rPr>
                <w:rFonts w:ascii="楷体" w:eastAsia="楷体" w:hAnsi="楷体" w:hint="eastAsia"/>
                <w:sz w:val="24"/>
                <w:szCs w:val="24"/>
              </w:rPr>
              <w:t>提供顾客满意调查分析。2020年度最终顾客满意率96.5%。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66E46" w:rsidRPr="0004534E">
        <w:trPr>
          <w:trHeight w:val="1255"/>
        </w:trPr>
        <w:tc>
          <w:tcPr>
            <w:tcW w:w="21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8.5.5</w:t>
            </w:r>
          </w:p>
        </w:tc>
        <w:tc>
          <w:tcPr>
            <w:tcW w:w="10004" w:type="dxa"/>
            <w:vAlign w:val="center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查产品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交付情况：</w:t>
            </w:r>
          </w:p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供销部按合同将产品交付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至客户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处，客户签收，公司通过电话跟踪沟通及定期拜访、客户满意度调查等方式确认交付及交付后服务的满意程度。经</w:t>
            </w:r>
            <w:proofErr w:type="gramStart"/>
            <w:r w:rsidRPr="0004534E">
              <w:rPr>
                <w:rFonts w:ascii="楷体" w:eastAsia="楷体" w:hAnsi="楷体" w:hint="eastAsia"/>
                <w:sz w:val="24"/>
                <w:szCs w:val="24"/>
              </w:rPr>
              <w:t>查符合</w:t>
            </w:r>
            <w:proofErr w:type="gramEnd"/>
            <w:r w:rsidRPr="0004534E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66E46" w:rsidRPr="0004534E" w:rsidRDefault="00266E46" w:rsidP="000453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4534E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77637F" w:rsidRPr="0004534E" w:rsidRDefault="00B529A0" w:rsidP="0004534E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04534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77637F" w:rsidRPr="0004534E" w:rsidRDefault="0077637F" w:rsidP="0004534E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</w:p>
    <w:sectPr w:rsidR="0077637F" w:rsidRPr="0004534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3E" w:rsidRDefault="0024273E">
      <w:r>
        <w:separator/>
      </w:r>
    </w:p>
  </w:endnote>
  <w:endnote w:type="continuationSeparator" w:id="0">
    <w:p w:rsidR="0024273E" w:rsidRDefault="0024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7637F" w:rsidRDefault="00B529A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E4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E4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637F" w:rsidRDefault="00776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3E" w:rsidRDefault="0024273E">
      <w:r>
        <w:separator/>
      </w:r>
    </w:p>
  </w:footnote>
  <w:footnote w:type="continuationSeparator" w:id="0">
    <w:p w:rsidR="0024273E" w:rsidRDefault="0024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7F" w:rsidRDefault="00CB28F5" w:rsidP="00CB28F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10AF94" wp14:editId="7F2C9E46">
          <wp:simplePos x="0" y="0"/>
          <wp:positionH relativeFrom="column">
            <wp:posOffset>-24960</wp:posOffset>
          </wp:positionH>
          <wp:positionV relativeFrom="paragraph">
            <wp:posOffset>-47577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0">
      <w:rPr>
        <w:rStyle w:val="CharChar1"/>
        <w:rFonts w:hint="default"/>
      </w:rPr>
      <w:t>北京国标联合认证有限公司</w:t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  <w:r w:rsidR="00B529A0">
      <w:rPr>
        <w:rStyle w:val="CharChar1"/>
        <w:rFonts w:hint="default"/>
      </w:rPr>
      <w:tab/>
    </w:r>
  </w:p>
  <w:p w:rsidR="0077637F" w:rsidRDefault="0024273E" w:rsidP="00CB28F5">
    <w:pPr>
      <w:pStyle w:val="a5"/>
      <w:pBdr>
        <w:bottom w:val="none" w:sz="0" w:space="0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CB28F5" w:rsidRDefault="00CB28F5" w:rsidP="00CB28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637F" w:rsidRDefault="0077637F"/>
            </w:txbxContent>
          </v:textbox>
        </v:shape>
      </w:pict>
    </w:r>
    <w:r w:rsidR="00B529A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529A0">
      <w:rPr>
        <w:rStyle w:val="CharChar1"/>
        <w:rFonts w:hint="default"/>
        <w:w w:val="90"/>
      </w:rPr>
      <w:t>Co.</w:t>
    </w:r>
    <w:proofErr w:type="gramStart"/>
    <w:r w:rsidR="00B529A0">
      <w:rPr>
        <w:rStyle w:val="CharChar1"/>
        <w:rFonts w:hint="default"/>
        <w:w w:val="90"/>
      </w:rPr>
      <w:t>,Ltd</w:t>
    </w:r>
    <w:proofErr w:type="spellEnd"/>
    <w:proofErr w:type="gramEnd"/>
    <w:r w:rsidR="00B529A0">
      <w:rPr>
        <w:rStyle w:val="CharChar1"/>
        <w:rFonts w:hint="default"/>
        <w:w w:val="90"/>
      </w:rPr>
      <w:t>.</w:t>
    </w:r>
  </w:p>
  <w:p w:rsidR="0077637F" w:rsidRDefault="007763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7F"/>
    <w:rsid w:val="00000ED3"/>
    <w:rsid w:val="0004534E"/>
    <w:rsid w:val="0024273E"/>
    <w:rsid w:val="00266E46"/>
    <w:rsid w:val="0049077F"/>
    <w:rsid w:val="00543C37"/>
    <w:rsid w:val="00607927"/>
    <w:rsid w:val="006803CF"/>
    <w:rsid w:val="006E0F5E"/>
    <w:rsid w:val="0077637F"/>
    <w:rsid w:val="00795933"/>
    <w:rsid w:val="007A411E"/>
    <w:rsid w:val="008C188F"/>
    <w:rsid w:val="00987767"/>
    <w:rsid w:val="00B12565"/>
    <w:rsid w:val="00B32E4D"/>
    <w:rsid w:val="00B529A0"/>
    <w:rsid w:val="00BD36C0"/>
    <w:rsid w:val="00C81E08"/>
    <w:rsid w:val="00C87F21"/>
    <w:rsid w:val="00CB28F5"/>
    <w:rsid w:val="00DB18EF"/>
    <w:rsid w:val="00E23367"/>
    <w:rsid w:val="00FB1BD5"/>
    <w:rsid w:val="00FF5F10"/>
    <w:rsid w:val="010D57CE"/>
    <w:rsid w:val="01173A7E"/>
    <w:rsid w:val="012C7439"/>
    <w:rsid w:val="014A3289"/>
    <w:rsid w:val="015E75F6"/>
    <w:rsid w:val="01820296"/>
    <w:rsid w:val="01B42125"/>
    <w:rsid w:val="01B43A41"/>
    <w:rsid w:val="02581E23"/>
    <w:rsid w:val="037526B1"/>
    <w:rsid w:val="043601D7"/>
    <w:rsid w:val="04B8618D"/>
    <w:rsid w:val="0567149D"/>
    <w:rsid w:val="05EF4564"/>
    <w:rsid w:val="06271826"/>
    <w:rsid w:val="06F93BC6"/>
    <w:rsid w:val="070F5E30"/>
    <w:rsid w:val="082638C1"/>
    <w:rsid w:val="088B7CC3"/>
    <w:rsid w:val="098E21C4"/>
    <w:rsid w:val="0A5D5081"/>
    <w:rsid w:val="0AC55444"/>
    <w:rsid w:val="0C122AA3"/>
    <w:rsid w:val="0C876559"/>
    <w:rsid w:val="0CB279B0"/>
    <w:rsid w:val="0CD03A1C"/>
    <w:rsid w:val="0CF5591D"/>
    <w:rsid w:val="0D711DA4"/>
    <w:rsid w:val="0E3955A2"/>
    <w:rsid w:val="0FA24D75"/>
    <w:rsid w:val="110B02A2"/>
    <w:rsid w:val="110B5B5E"/>
    <w:rsid w:val="115B0121"/>
    <w:rsid w:val="1251331C"/>
    <w:rsid w:val="12830414"/>
    <w:rsid w:val="12CD2A56"/>
    <w:rsid w:val="130609AB"/>
    <w:rsid w:val="157A391B"/>
    <w:rsid w:val="15D16EC6"/>
    <w:rsid w:val="15D55435"/>
    <w:rsid w:val="18473062"/>
    <w:rsid w:val="18AC738E"/>
    <w:rsid w:val="18B72DC3"/>
    <w:rsid w:val="19656B18"/>
    <w:rsid w:val="19EF75E8"/>
    <w:rsid w:val="1A7C0954"/>
    <w:rsid w:val="1AA0456B"/>
    <w:rsid w:val="1AF63A4C"/>
    <w:rsid w:val="1B9A62B0"/>
    <w:rsid w:val="1BEB22AC"/>
    <w:rsid w:val="1C332FAE"/>
    <w:rsid w:val="1C83398A"/>
    <w:rsid w:val="1CBF6648"/>
    <w:rsid w:val="1CCD2F4D"/>
    <w:rsid w:val="1CFB15CD"/>
    <w:rsid w:val="1DD92D48"/>
    <w:rsid w:val="1F067524"/>
    <w:rsid w:val="1F0F57D9"/>
    <w:rsid w:val="1F795358"/>
    <w:rsid w:val="1FA83774"/>
    <w:rsid w:val="21702436"/>
    <w:rsid w:val="22252510"/>
    <w:rsid w:val="229C437C"/>
    <w:rsid w:val="229F29C4"/>
    <w:rsid w:val="22FB706F"/>
    <w:rsid w:val="23033CA4"/>
    <w:rsid w:val="232A0A68"/>
    <w:rsid w:val="23AE2501"/>
    <w:rsid w:val="23F36C6C"/>
    <w:rsid w:val="25623591"/>
    <w:rsid w:val="25D34AD1"/>
    <w:rsid w:val="27A51705"/>
    <w:rsid w:val="2838370A"/>
    <w:rsid w:val="29100AF7"/>
    <w:rsid w:val="291F7CA2"/>
    <w:rsid w:val="295337C8"/>
    <w:rsid w:val="29BD4113"/>
    <w:rsid w:val="2AFD60E1"/>
    <w:rsid w:val="2B85481E"/>
    <w:rsid w:val="2BBC0695"/>
    <w:rsid w:val="2C1B28B6"/>
    <w:rsid w:val="2CA461B4"/>
    <w:rsid w:val="2D025717"/>
    <w:rsid w:val="2D0A5F16"/>
    <w:rsid w:val="2DC13FCC"/>
    <w:rsid w:val="2E7D7267"/>
    <w:rsid w:val="311B0352"/>
    <w:rsid w:val="34223F5D"/>
    <w:rsid w:val="35496070"/>
    <w:rsid w:val="380C3FE2"/>
    <w:rsid w:val="38A45F62"/>
    <w:rsid w:val="38A64942"/>
    <w:rsid w:val="38FD75ED"/>
    <w:rsid w:val="39731210"/>
    <w:rsid w:val="399214F6"/>
    <w:rsid w:val="3A0B79C9"/>
    <w:rsid w:val="3A1A44CB"/>
    <w:rsid w:val="3AE96F85"/>
    <w:rsid w:val="3BA63565"/>
    <w:rsid w:val="3BCF0030"/>
    <w:rsid w:val="3C2838C8"/>
    <w:rsid w:val="3C7F18D9"/>
    <w:rsid w:val="3C9C6BB8"/>
    <w:rsid w:val="3CF9650A"/>
    <w:rsid w:val="3D6E7421"/>
    <w:rsid w:val="3D886E24"/>
    <w:rsid w:val="3DAC4AC0"/>
    <w:rsid w:val="3E5B0FEA"/>
    <w:rsid w:val="3E7B327E"/>
    <w:rsid w:val="3FE536F4"/>
    <w:rsid w:val="40530A40"/>
    <w:rsid w:val="4069002D"/>
    <w:rsid w:val="41E65C55"/>
    <w:rsid w:val="422F4755"/>
    <w:rsid w:val="42716766"/>
    <w:rsid w:val="43683DD5"/>
    <w:rsid w:val="43E73239"/>
    <w:rsid w:val="45A16DD6"/>
    <w:rsid w:val="45A22465"/>
    <w:rsid w:val="4655399D"/>
    <w:rsid w:val="47065AF6"/>
    <w:rsid w:val="49DD4A00"/>
    <w:rsid w:val="4A3E4CB3"/>
    <w:rsid w:val="4AEC65E7"/>
    <w:rsid w:val="4B5A367D"/>
    <w:rsid w:val="4C3F477B"/>
    <w:rsid w:val="4DCC16F0"/>
    <w:rsid w:val="4E0D33A7"/>
    <w:rsid w:val="4E4972D8"/>
    <w:rsid w:val="4E816948"/>
    <w:rsid w:val="4E9E09EA"/>
    <w:rsid w:val="4F2A0240"/>
    <w:rsid w:val="4F5C2790"/>
    <w:rsid w:val="50040F8C"/>
    <w:rsid w:val="5055050C"/>
    <w:rsid w:val="50B84F32"/>
    <w:rsid w:val="51BC0810"/>
    <w:rsid w:val="51C11081"/>
    <w:rsid w:val="51C14193"/>
    <w:rsid w:val="51F01A73"/>
    <w:rsid w:val="51F8394E"/>
    <w:rsid w:val="52917001"/>
    <w:rsid w:val="5434311D"/>
    <w:rsid w:val="54547E2B"/>
    <w:rsid w:val="559B7CAD"/>
    <w:rsid w:val="55D05EC3"/>
    <w:rsid w:val="563B2D44"/>
    <w:rsid w:val="568C40D3"/>
    <w:rsid w:val="573C1F49"/>
    <w:rsid w:val="57D31578"/>
    <w:rsid w:val="5CE56751"/>
    <w:rsid w:val="5E3D60A6"/>
    <w:rsid w:val="5E5E7E7B"/>
    <w:rsid w:val="5E6C1391"/>
    <w:rsid w:val="5E982B9A"/>
    <w:rsid w:val="5ED056EF"/>
    <w:rsid w:val="5EDD12A2"/>
    <w:rsid w:val="5EE255B6"/>
    <w:rsid w:val="5F190453"/>
    <w:rsid w:val="5F5B3AB4"/>
    <w:rsid w:val="5F8A153E"/>
    <w:rsid w:val="6014728F"/>
    <w:rsid w:val="60447BA0"/>
    <w:rsid w:val="605918BF"/>
    <w:rsid w:val="60772237"/>
    <w:rsid w:val="6086159B"/>
    <w:rsid w:val="61E34BD6"/>
    <w:rsid w:val="62656752"/>
    <w:rsid w:val="62C22528"/>
    <w:rsid w:val="62E30870"/>
    <w:rsid w:val="63044C2E"/>
    <w:rsid w:val="633A6390"/>
    <w:rsid w:val="638E143F"/>
    <w:rsid w:val="65A839C9"/>
    <w:rsid w:val="66CE657D"/>
    <w:rsid w:val="67CB32B7"/>
    <w:rsid w:val="69CF04B2"/>
    <w:rsid w:val="6AC3041B"/>
    <w:rsid w:val="6AEB2436"/>
    <w:rsid w:val="6B9740E8"/>
    <w:rsid w:val="6C810064"/>
    <w:rsid w:val="6D073498"/>
    <w:rsid w:val="6D3746B1"/>
    <w:rsid w:val="6E0D7DDE"/>
    <w:rsid w:val="6E600910"/>
    <w:rsid w:val="6E631050"/>
    <w:rsid w:val="6EAC4ED5"/>
    <w:rsid w:val="6EF2402B"/>
    <w:rsid w:val="6F2E252C"/>
    <w:rsid w:val="70B474FD"/>
    <w:rsid w:val="71433766"/>
    <w:rsid w:val="7198744F"/>
    <w:rsid w:val="71BC6DFC"/>
    <w:rsid w:val="71F333DD"/>
    <w:rsid w:val="71F844DB"/>
    <w:rsid w:val="7286138C"/>
    <w:rsid w:val="729D3A2B"/>
    <w:rsid w:val="72AE6AF1"/>
    <w:rsid w:val="73146829"/>
    <w:rsid w:val="73375F5E"/>
    <w:rsid w:val="733A3AC5"/>
    <w:rsid w:val="738D7D67"/>
    <w:rsid w:val="73CB3C9F"/>
    <w:rsid w:val="73D936A4"/>
    <w:rsid w:val="74152D50"/>
    <w:rsid w:val="748F18CF"/>
    <w:rsid w:val="75255B97"/>
    <w:rsid w:val="753554C4"/>
    <w:rsid w:val="754E4E0C"/>
    <w:rsid w:val="767F06ED"/>
    <w:rsid w:val="775F674D"/>
    <w:rsid w:val="77CF71D3"/>
    <w:rsid w:val="783D2B34"/>
    <w:rsid w:val="78BD64DD"/>
    <w:rsid w:val="7A021F6C"/>
    <w:rsid w:val="7A5C7F4C"/>
    <w:rsid w:val="7A7E0367"/>
    <w:rsid w:val="7BBC2F45"/>
    <w:rsid w:val="7C21338F"/>
    <w:rsid w:val="7CF6758F"/>
    <w:rsid w:val="7CF81F88"/>
    <w:rsid w:val="7D506035"/>
    <w:rsid w:val="7D852FA2"/>
    <w:rsid w:val="7D8B2289"/>
    <w:rsid w:val="7DAC2DB5"/>
    <w:rsid w:val="7F0B3AD4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E0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6E0F5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6E0F5E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2015-06-17T12:51:00Z</dcterms:created>
  <dcterms:modified xsi:type="dcterms:W3CDTF">2022-01-16T15:11:00Z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