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477D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77DC5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477DC5">
              <w:rPr>
                <w:rFonts w:ascii="楷体" w:eastAsia="楷体" w:hAnsi="楷体" w:hint="eastAsia"/>
                <w:sz w:val="24"/>
                <w:szCs w:val="24"/>
              </w:rPr>
              <w:t>孟</w:t>
            </w:r>
            <w:r w:rsidR="00306DF9">
              <w:rPr>
                <w:rFonts w:ascii="楷体" w:eastAsia="楷体" w:hAnsi="楷体" w:hint="eastAsia"/>
                <w:sz w:val="24"/>
                <w:szCs w:val="24"/>
              </w:rPr>
              <w:t>伟</w:t>
            </w:r>
            <w:r w:rsidR="00477DC5">
              <w:rPr>
                <w:rFonts w:ascii="楷体" w:eastAsia="楷体" w:hAnsi="楷体" w:hint="eastAsia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22157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="0022157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2157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2662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1571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C5C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11.</w:t>
            </w:r>
            <w:r w:rsidR="002C5C9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尺、</w:t>
            </w:r>
            <w:r w:rsidR="00942508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8953EC" w:rsidRPr="008953EC">
              <w:rPr>
                <w:rFonts w:ascii="楷体" w:eastAsia="楷体" w:hAnsi="楷体"/>
                <w:sz w:val="24"/>
                <w:szCs w:val="24"/>
              </w:rPr>
              <w:t>HK2011121829</w:t>
            </w:r>
            <w:r w:rsidR="009D66C5"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8953EC" w:rsidRPr="008953EC">
              <w:rPr>
                <w:rFonts w:ascii="楷体" w:eastAsia="楷体" w:hAnsi="楷体"/>
                <w:sz w:val="24"/>
                <w:szCs w:val="24"/>
              </w:rPr>
              <w:t>HK2011121830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11.12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306DF9" w:rsidRPr="00306DF9" w:rsidRDefault="00306DF9" w:rsidP="00306DF9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306DF9">
              <w:rPr>
                <w:rFonts w:ascii="楷体" w:eastAsia="楷体" w:hAnsi="楷体" w:cs="楷体" w:hint="eastAsia"/>
                <w:b/>
                <w:sz w:val="24"/>
                <w:szCs w:val="24"/>
              </w:rPr>
              <w:lastRenderedPageBreak/>
              <w:t>已过期，不符合要求，开具了不符合报告。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306DF9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N</w:t>
            </w: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铝塑板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0DE4" w:rsidRDefault="00CB0DE4" w:rsidP="00CB0D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抽查2021.8.11日进货验收情况，产品名称档案柜，检验项目数量、规格、供货商资质证件、材质等，结果合格，检验员崔小鹏。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标志贴膜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规格、印刷质量、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、供货商资质证件等，结果合格，检验员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0DE4" w:rsidRDefault="00CB0DE4" w:rsidP="00CB0D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抽查2021.9.24日进货验收情况，产品名称密集架，检验项目数量、规格、供货商资质证件、材质等，结果合格，检验员崔小鹏。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监控器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供货商资质证件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、性能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3065A" w:rsidRDefault="0033065A" w:rsidP="0033065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6日进货验收情况，产品名称显示屏，检验项目数量、规格、供货商资质证件、性能等，结果合格，检验员崔小鹏。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247B14" w:rsidRDefault="007352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0174D6">
              <w:rPr>
                <w:rFonts w:ascii="楷体" w:eastAsia="楷体" w:hAnsi="楷体" w:hint="eastAsia"/>
                <w:sz w:val="24"/>
                <w:szCs w:val="24"/>
              </w:rPr>
              <w:t>标示牌过程监控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记录，内容包括产品名称、日期、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D59F1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137507" w:rsidRPr="000174D6">
              <w:rPr>
                <w:rFonts w:ascii="楷体" w:eastAsia="楷体" w:hAnsi="楷体" w:hint="eastAsia"/>
                <w:sz w:val="24"/>
                <w:szCs w:val="24"/>
              </w:rPr>
              <w:t>标示牌过程监控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冲压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等项目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进行了检验，检验结果，合格，检验员</w:t>
            </w:r>
            <w:r w:rsidR="006063CD">
              <w:rPr>
                <w:rFonts w:ascii="楷体" w:eastAsia="楷体" w:hAnsi="楷体" w:hint="eastAsia"/>
                <w:sz w:val="24"/>
                <w:szCs w:val="24"/>
              </w:rPr>
              <w:t>孟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伟涛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79C" w:rsidRDefault="000174D6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再抽查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13750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日等</w:t>
            </w:r>
            <w:r w:rsidR="00075E0C" w:rsidRPr="000174D6">
              <w:rPr>
                <w:rFonts w:ascii="楷体" w:eastAsia="楷体" w:hAnsi="楷体" w:hint="eastAsia"/>
                <w:sz w:val="24"/>
                <w:szCs w:val="24"/>
              </w:rPr>
              <w:t>标示牌过程监控</w:t>
            </w:r>
            <w:r w:rsidR="00075E0C">
              <w:rPr>
                <w:rFonts w:ascii="楷体" w:eastAsia="楷体" w:hAnsi="楷体" w:hint="eastAsia"/>
                <w:sz w:val="24"/>
                <w:szCs w:val="24"/>
              </w:rPr>
              <w:t>记录，情况基本同上，检验结果合格。</w:t>
            </w:r>
          </w:p>
          <w:p w:rsidR="00844E34" w:rsidRDefault="00844E3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A81D4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0D7D4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8.1</w:t>
            </w:r>
            <w:r w:rsidR="000D7D4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外观尺寸进行了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检验，判定结果：合格，检验人员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、202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.10.1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、202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093FB8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日标牌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出厂检验报告，基本同上。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4、第三方检验：</w:t>
            </w:r>
          </w:p>
          <w:p w:rsidR="00E530A1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F50B2AA" wp14:editId="25E2D52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529590</wp:posOffset>
                  </wp:positionV>
                  <wp:extent cx="2639695" cy="3691890"/>
                  <wp:effectExtent l="0" t="0" r="0" b="0"/>
                  <wp:wrapNone/>
                  <wp:docPr id="3" name="图片 3" descr="E:\360安全云盘同步版\国标联合审核\202012\山东泰才电子科技有限公司\新建文件夹\检验报告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泰才电子科技有限公司\新建文件夹\检验报告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36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2019.7.26日委托</w:t>
            </w:r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电力工业电力</w:t>
            </w:r>
            <w:proofErr w:type="gramStart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器具质量监督检验测试中心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对公司的安全标志和设备标志进行了质量检验，检验结果合格。</w:t>
            </w:r>
          </w:p>
          <w:p w:rsidR="003A3710" w:rsidRDefault="00330570" w:rsidP="0033057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1CD1436" wp14:editId="138D3B87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31115</wp:posOffset>
                  </wp:positionV>
                  <wp:extent cx="2475865" cy="3517900"/>
                  <wp:effectExtent l="0" t="0" r="0" b="0"/>
                  <wp:wrapNone/>
                  <wp:docPr id="4" name="图片 4" descr="E:\360安全云盘同步版\国标联合审核\202012\山东泰才电子科技有限公司\新建文件夹\检验报告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山东泰才电子科技有限公司\新建文件夹\检验报告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35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710" w:rsidRDefault="003A3710" w:rsidP="0033057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72B12" w:rsidRPr="00550F2E" w:rsidRDefault="00F72B12" w:rsidP="00F72B1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F72B12" w:rsidRPr="00550F2E" w:rsidRDefault="00F72B12" w:rsidP="00F72B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F72B12" w:rsidRPr="00550F2E" w:rsidRDefault="00F72B12" w:rsidP="0031655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619E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316557" w:rsidRPr="004146FB">
              <w:rPr>
                <w:rFonts w:ascii="楷体" w:eastAsia="楷体" w:hAnsi="楷体" w:hint="eastAsia"/>
                <w:sz w:val="24"/>
                <w:szCs w:val="24"/>
              </w:rPr>
              <w:t>销售过程考核记录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，检查考评涉及内容：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收货过程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轻拿轻放，要求有防护，何时清楚供货方信息，数量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发货过程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装车轻拿轻放，要求有防护，发货数量、规格符合顾客要求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售后过程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卸车过程严禁野蛮操作，做好防护工作，按照顾客要求制定地点存放，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检查结果符合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，检查人崔国强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72B12" w:rsidRPr="00550F2E" w:rsidRDefault="00F72B12" w:rsidP="00F72B12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F72B12" w:rsidRPr="00550F2E" w:rsidRDefault="00F72B12" w:rsidP="00F72B1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247B14" w:rsidRDefault="00F72B12" w:rsidP="00CC56F2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="00A1016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48360E">
              <w:rPr>
                <w:rFonts w:ascii="楷体" w:eastAsia="楷体" w:hAnsi="楷体" w:cs="Arial" w:hint="eastAsia"/>
                <w:sz w:val="24"/>
                <w:szCs w:val="24"/>
              </w:rPr>
              <w:t>输出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不合格异常处理单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CD419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CD419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CD4195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个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铝塑板尺寸过</w:t>
            </w:r>
            <w:r w:rsidR="00CD4195">
              <w:rPr>
                <w:rFonts w:ascii="楷体" w:eastAsia="楷体" w:hAnsi="楷体" w:cs="Arial" w:hint="eastAsia"/>
                <w:sz w:val="24"/>
                <w:szCs w:val="24"/>
              </w:rPr>
              <w:t>小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报废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崔国强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04" w:rsidRDefault="00EC5204" w:rsidP="008973EE">
      <w:r>
        <w:separator/>
      </w:r>
    </w:p>
  </w:endnote>
  <w:endnote w:type="continuationSeparator" w:id="0">
    <w:p w:rsidR="00EC5204" w:rsidRDefault="00EC520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19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19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04" w:rsidRDefault="00EC5204" w:rsidP="008973EE">
      <w:r>
        <w:separator/>
      </w:r>
    </w:p>
  </w:footnote>
  <w:footnote w:type="continuationSeparator" w:id="0">
    <w:p w:rsidR="00EC5204" w:rsidRDefault="00EC520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221571" w:rsidP="0022157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21A41A" wp14:editId="72A148CB">
          <wp:simplePos x="0" y="0"/>
          <wp:positionH relativeFrom="column">
            <wp:posOffset>6350</wp:posOffset>
          </wp:positionH>
          <wp:positionV relativeFrom="paragraph">
            <wp:posOffset>-57785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EC520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21571" w:rsidRDefault="00221571" w:rsidP="002215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174D6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5E0C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3FB8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D7D4B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37507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19E8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9BB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1571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03FA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5C9E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6DF9"/>
    <w:rsid w:val="003075BF"/>
    <w:rsid w:val="0031213E"/>
    <w:rsid w:val="00312C1E"/>
    <w:rsid w:val="00315201"/>
    <w:rsid w:val="00316557"/>
    <w:rsid w:val="00317401"/>
    <w:rsid w:val="0031751E"/>
    <w:rsid w:val="0032273E"/>
    <w:rsid w:val="0032358B"/>
    <w:rsid w:val="00325552"/>
    <w:rsid w:val="0032616E"/>
    <w:rsid w:val="00326FC1"/>
    <w:rsid w:val="00330405"/>
    <w:rsid w:val="00330570"/>
    <w:rsid w:val="0033065A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3710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AC8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35F6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46FB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1CCC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8E3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7DC5"/>
    <w:rsid w:val="0048360E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36F5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2662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63C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37C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3F9E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200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3EC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2508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1D4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66904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07C69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0DE4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6F2"/>
    <w:rsid w:val="00CC5710"/>
    <w:rsid w:val="00CC7275"/>
    <w:rsid w:val="00CD12E5"/>
    <w:rsid w:val="00CD3512"/>
    <w:rsid w:val="00CD4195"/>
    <w:rsid w:val="00CD59F1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0A1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932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204"/>
    <w:rsid w:val="00EC5406"/>
    <w:rsid w:val="00EC5EC8"/>
    <w:rsid w:val="00EC73DA"/>
    <w:rsid w:val="00ED0F62"/>
    <w:rsid w:val="00ED22E3"/>
    <w:rsid w:val="00ED30A0"/>
    <w:rsid w:val="00EF0B04"/>
    <w:rsid w:val="00EF151F"/>
    <w:rsid w:val="00EF36E7"/>
    <w:rsid w:val="00F02F60"/>
    <w:rsid w:val="00F03382"/>
    <w:rsid w:val="00F0431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0488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2B12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1072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6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1788</cp:revision>
  <dcterms:created xsi:type="dcterms:W3CDTF">2015-06-17T12:51:00Z</dcterms:created>
  <dcterms:modified xsi:type="dcterms:W3CDTF">2022-01-16T14:19:00Z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