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1205-2021-Q</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四川省绵竹市雄剑玻璃制品有限责任公司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2021年11月26日 上午至2021年11月26日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hAnsi="宋体"/>
                <w:b/>
                <w:color w:val="000000"/>
                <w:szCs w:val="21"/>
                <w:lang w:val="de-DE"/>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hAnsi="宋体"/>
                <w:b/>
                <w:color w:val="000000"/>
                <w:szCs w:val="21"/>
                <w:lang w:val="de-DE"/>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宋明珠</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2020-N1QMS-1247783</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刘春</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ISC-JSZJ-419</w:t>
            </w:r>
          </w:p>
          <w:p>
            <w:pPr>
              <w:spacing w:line="240" w:lineRule="exact"/>
              <w:jc w:val="center"/>
              <w:rPr>
                <w:b/>
                <w:color w:val="000000"/>
                <w:szCs w:val="21"/>
              </w:rPr>
            </w:pPr>
            <w:r>
              <w:rPr>
                <w:b/>
                <w:color w:val="000000"/>
                <w:szCs w:val="21"/>
              </w:rPr>
              <w:t>四川省绵竹市雄剑玻璃制品有限责任公司</w:t>
            </w:r>
          </w:p>
        </w:tc>
        <w:tc>
          <w:tcPr>
            <w:tcW w:w="1140" w:type="dxa"/>
            <w:vAlign w:val="center"/>
          </w:tcPr>
          <w:p>
            <w:pPr>
              <w:spacing w:line="240" w:lineRule="exact"/>
              <w:jc w:val="center"/>
              <w:rPr>
                <w:b/>
                <w:color w:val="000000"/>
                <w:szCs w:val="21"/>
              </w:rPr>
            </w:pPr>
            <w:r>
              <w:rPr>
                <w:b/>
                <w:color w:val="000000"/>
                <w:szCs w:val="21"/>
              </w:rPr>
              <w:t>15.01.03</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四川省绵竹市雄剑玻璃制品有限责任公司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四川省绵竹市新市镇花园村四组</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618209</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生产地址"/>
            <w:bookmarkStart w:id="28" w:name="办公地址"/>
            <w:r>
              <w:rPr>
                <w:rFonts w:ascii="宋体"/>
                <w:b/>
                <w:color w:val="000000"/>
                <w:szCs w:val="21"/>
              </w:rPr>
              <w:t>四川省绵竹市新市镇花园村四组</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618209</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刘彦</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13568212117</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王道云</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刘彦</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bookmarkStart w:id="35" w:name="审核范围"/>
            <w:r>
              <w:t>白酒玻璃瓶的生产</w:t>
            </w:r>
            <w:bookmarkEnd w:id="35"/>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0"/>
              </w:tabs>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工艺流程：</w:t>
            </w:r>
          </w:p>
          <w:p>
            <w:pPr>
              <w:tabs>
                <w:tab w:val="left" w:pos="0"/>
              </w:tabs>
              <w:rPr>
                <w:rFonts w:ascii="宋体"/>
                <w:color w:val="000000"/>
                <w:szCs w:val="21"/>
              </w:rPr>
            </w:pPr>
            <w:r>
              <w:rPr>
                <w:rFonts w:hint="eastAsia" w:ascii="宋体" w:hAnsi="宋体" w:eastAsia="宋体" w:cs="Times New Roman"/>
                <w:color w:val="000000"/>
                <w:szCs w:val="21"/>
                <w:lang w:val="en-US" w:eastAsia="zh-CN"/>
              </w:rPr>
              <w:t>来料——称量——混合——配料——熔化——制瓶——退火——检验——贴花（顾客需要时）——烤 花（顾客需要时）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白酒玻璃瓶的生产</w:t>
            </w:r>
          </w:p>
        </w:tc>
        <w:tc>
          <w:tcPr>
            <w:tcW w:w="2006" w:type="dxa"/>
            <w:gridSpan w:val="3"/>
            <w:vAlign w:val="center"/>
          </w:tcPr>
          <w:p>
            <w:pPr>
              <w:spacing w:line="400" w:lineRule="exact"/>
              <w:rPr>
                <w:rFonts w:ascii="宋体" w:hAnsi="宋体"/>
                <w:b/>
                <w:color w:val="000000"/>
                <w:szCs w:val="21"/>
              </w:rPr>
            </w:pPr>
            <w:bookmarkStart w:id="36" w:name="专业代码"/>
            <w:r>
              <w:t>15.01.03</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b/>
                <w:color w:val="000000"/>
                <w:szCs w:val="21"/>
                <w:lang w:val="de-DE"/>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四川省绵竹市新市镇花园村四组</w:t>
            </w:r>
          </w:p>
        </w:tc>
        <w:tc>
          <w:tcPr>
            <w:tcW w:w="2267" w:type="dxa"/>
          </w:tcPr>
          <w:p>
            <w:pPr>
              <w:spacing w:before="40" w:after="40"/>
              <w:rPr>
                <w:rFonts w:eastAsia="黑体"/>
                <w:szCs w:val="21"/>
                <w:lang w:val="de-DE" w:eastAsia="ja-JP"/>
              </w:rPr>
            </w:pPr>
            <w:r>
              <w:rPr>
                <w:sz w:val="21"/>
                <w:szCs w:val="21"/>
              </w:rPr>
              <w:t>四川省绵竹市新市镇花园村四组</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147</w:t>
            </w:r>
          </w:p>
        </w:tc>
        <w:tc>
          <w:tcPr>
            <w:tcW w:w="2803" w:type="dxa"/>
            <w:vAlign w:val="center"/>
          </w:tcPr>
          <w:p>
            <w:pPr>
              <w:pStyle w:val="20"/>
              <w:rPr>
                <w:rFonts w:eastAsia="黑体" w:cs="Arial"/>
                <w:sz w:val="21"/>
                <w:szCs w:val="21"/>
                <w:lang w:val="en-US" w:eastAsia="ja-JP"/>
              </w:rPr>
            </w:pPr>
            <w:r>
              <w:t>白酒玻璃瓶的生产</w:t>
            </w:r>
          </w:p>
        </w:tc>
        <w:tc>
          <w:tcPr>
            <w:tcW w:w="669" w:type="dxa"/>
            <w:vAlign w:val="center"/>
          </w:tcPr>
          <w:p>
            <w:pPr>
              <w:spacing w:before="40" w:after="40"/>
              <w:rPr>
                <w:rFonts w:eastAsia="黑体"/>
                <w:szCs w:val="21"/>
                <w:lang w:eastAsia="ja-JP"/>
              </w:rPr>
            </w:pP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b/>
                    <w:color w:val="000000"/>
                    <w:szCs w:val="21"/>
                    <w:lang w:val="de-DE"/>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auto"/>
                <w:spacing w:val="-10"/>
                <w:szCs w:val="21"/>
              </w:rPr>
            </w:pPr>
            <w:r>
              <w:rPr>
                <w:rFonts w:hint="eastAsia" w:ascii="宋体" w:hAnsi="宋体"/>
                <w:color w:val="auto"/>
                <w:spacing w:val="-10"/>
                <w:szCs w:val="21"/>
              </w:rPr>
              <w:t>质量管理体系覆盖了</w:t>
            </w:r>
            <w:r>
              <w:rPr>
                <w:color w:val="auto"/>
              </w:rPr>
              <w:t>多场所</w:t>
            </w:r>
            <w:r>
              <w:rPr>
                <w:rFonts w:hint="eastAsia"/>
                <w:color w:val="auto"/>
              </w:rPr>
              <w:t>/临时场</w:t>
            </w:r>
            <w:r>
              <w:rPr>
                <w:color w:val="auto"/>
              </w:rPr>
              <w:t>的</w:t>
            </w:r>
            <w:r>
              <w:rPr>
                <w:rFonts w:hint="eastAsia"/>
                <w:color w:val="auto"/>
              </w:rPr>
              <w:t>运行控制</w:t>
            </w:r>
            <w:r>
              <w:rPr>
                <w:color w:val="auto"/>
              </w:rPr>
              <w:t>（</w:t>
            </w:r>
            <w:r>
              <w:rPr>
                <w:rFonts w:hint="eastAsia"/>
                <w:color w:val="auto"/>
              </w:rPr>
              <w:t>适用</w:t>
            </w:r>
            <w:r>
              <w:rPr>
                <w:color w:val="auto"/>
              </w:rPr>
              <w:t>时）</w:t>
            </w:r>
          </w:p>
        </w:tc>
        <w:tc>
          <w:tcPr>
            <w:tcW w:w="990" w:type="dxa"/>
            <w:gridSpan w:val="3"/>
          </w:tcPr>
          <w:p>
            <w:pPr>
              <w:rPr>
                <w:rFonts w:ascii="宋体"/>
                <w:color w:val="auto"/>
                <w:szCs w:val="21"/>
              </w:rPr>
            </w:pPr>
            <w:r>
              <w:rPr>
                <w:rFonts w:hint="eastAsia" w:ascii="宋体" w:hAnsi="宋体"/>
                <w:color w:val="auto"/>
                <w:spacing w:val="-10"/>
                <w:szCs w:val="21"/>
                <w:lang w:eastAsia="zh-CN"/>
              </w:rPr>
              <w:t>□</w:t>
            </w:r>
            <w:r>
              <w:rPr>
                <w:rFonts w:hint="eastAsia" w:ascii="宋体" w:hAnsi="宋体"/>
                <w:color w:val="auto"/>
                <w:szCs w:val="21"/>
              </w:rPr>
              <w:t>是</w:t>
            </w:r>
          </w:p>
        </w:tc>
        <w:tc>
          <w:tcPr>
            <w:tcW w:w="1314" w:type="dxa"/>
            <w:gridSpan w:val="3"/>
          </w:tcPr>
          <w:p>
            <w:pPr>
              <w:rPr>
                <w:rFonts w:ascii="宋体"/>
                <w:color w:val="auto"/>
                <w:szCs w:val="21"/>
              </w:rPr>
            </w:pPr>
            <w:r>
              <w:rPr>
                <w:rFonts w:hint="eastAsia" w:ascii="宋体" w:hAnsi="宋体"/>
                <w:color w:val="auto"/>
                <w:spacing w:val="-10"/>
                <w:szCs w:val="21"/>
              </w:rPr>
              <w:t>□</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 年 </w:t>
            </w:r>
            <w:r>
              <w:rPr>
                <w:rFonts w:hint="eastAsia" w:ascii="宋体" w:hAnsi="宋体"/>
                <w:b/>
                <w:color w:val="000000"/>
                <w:szCs w:val="21"/>
                <w:u w:val="single"/>
                <w:lang w:val="en-US" w:eastAsia="zh-CN"/>
              </w:rPr>
              <w:t>7</w:t>
            </w:r>
            <w:r>
              <w:rPr>
                <w:rFonts w:hint="eastAsia" w:ascii="宋体" w:hAnsi="宋体"/>
                <w:b/>
                <w:color w:val="000000"/>
                <w:szCs w:val="21"/>
                <w:u w:val="single"/>
              </w:rPr>
              <w:t xml:space="preserve">月 </w:t>
            </w:r>
            <w:r>
              <w:rPr>
                <w:rFonts w:hint="eastAsia" w:ascii="宋体" w:hAnsi="宋体"/>
                <w:b/>
                <w:color w:val="000000"/>
                <w:szCs w:val="21"/>
                <w:u w:val="single"/>
                <w:lang w:val="en-US" w:eastAsia="zh-CN"/>
              </w:rPr>
              <w:t>15</w:t>
            </w:r>
            <w:r>
              <w:rPr>
                <w:rFonts w:hint="eastAsia" w:ascii="宋体" w:hAnsi="宋体"/>
                <w:b/>
                <w:color w:val="000000"/>
                <w:szCs w:val="21"/>
                <w:u w:val="single"/>
              </w:rPr>
              <w:t xml:space="preserve"> 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2021</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w:t>
            </w:r>
            <w:r>
              <w:rPr>
                <w:rFonts w:hint="eastAsia" w:ascii="宋体" w:hAnsi="宋体" w:eastAsia="宋体" w:cs="Times New Roman"/>
                <w:color w:val="auto"/>
                <w:sz w:val="21"/>
                <w:szCs w:val="21"/>
                <w:lang w:val="en-US" w:eastAsia="zh-CN"/>
              </w:rPr>
              <w:t>于</w:t>
            </w:r>
            <w:r>
              <w:rPr>
                <w:rFonts w:hint="eastAsia" w:ascii="宋体" w:hAnsi="宋体" w:eastAsia="宋体" w:cs="Times New Roman"/>
                <w:color w:val="auto"/>
                <w:sz w:val="21"/>
                <w:szCs w:val="21"/>
                <w:u w:val="single"/>
                <w:lang w:val="en-US" w:eastAsia="zh-CN"/>
              </w:rPr>
              <w:t>2021年 10月25日</w:t>
            </w:r>
            <w:r>
              <w:rPr>
                <w:rFonts w:hint="eastAsia" w:ascii="宋体" w:hAnsi="宋体" w:eastAsia="宋体" w:cs="Times New Roman"/>
                <w:color w:val="auto"/>
                <w:sz w:val="21"/>
                <w:szCs w:val="21"/>
                <w:lang w:val="en-US" w:eastAsia="zh-CN"/>
              </w:rPr>
              <w:t>完</w:t>
            </w:r>
            <w:r>
              <w:rPr>
                <w:rFonts w:hint="eastAsia" w:ascii="宋体" w:hAnsi="宋体" w:eastAsia="宋体"/>
                <w:color w:val="auto"/>
                <w:sz w:val="21"/>
                <w:szCs w:val="21"/>
                <w:lang w:val="en-US" w:eastAsia="zh-CN"/>
              </w:rPr>
              <w:t>成管理</w:t>
            </w:r>
            <w:r>
              <w:rPr>
                <w:rFonts w:hint="eastAsia" w:ascii="宋体" w:hAnsi="宋体" w:eastAsia="宋体"/>
                <w:color w:val="000000"/>
                <w:sz w:val="21"/>
                <w:szCs w:val="21"/>
                <w:lang w:val="en-US" w:eastAsia="zh-CN"/>
              </w:rPr>
              <w:t>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r>
              <w:rPr>
                <w:rFonts w:hint="eastAsia" w:ascii="宋体" w:hAnsi="宋体"/>
                <w:color w:val="000000"/>
                <w:szCs w:val="21"/>
                <w:lang w:val="en-US" w:eastAsia="zh-CN"/>
              </w:rPr>
              <w:t>8.3</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eastAsia="宋体"/>
                <w:color w:val="000000"/>
                <w:szCs w:val="21"/>
                <w:lang w:eastAsia="zh-CN"/>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r>
              <w:rPr>
                <w:rFonts w:hint="eastAsia" w:ascii="宋体" w:hAnsi="宋体"/>
                <w:color w:val="000000"/>
                <w:szCs w:val="21"/>
                <w:lang w:eastAsia="zh-CN"/>
              </w:rPr>
              <w:t>：</w:t>
            </w:r>
            <w:r>
              <w:rPr>
                <w:rFonts w:hint="eastAsia" w:eastAsia="宋体" w:cs="Lucida Sans"/>
                <w:sz w:val="21"/>
                <w:szCs w:val="21"/>
              </w:rPr>
              <w:t>公司</w:t>
            </w:r>
            <w:r>
              <w:rPr>
                <w:rFonts w:hint="eastAsia" w:eastAsia="宋体" w:cs="Lucida Sans"/>
                <w:sz w:val="21"/>
                <w:szCs w:val="21"/>
                <w:lang w:eastAsia="zh-CN"/>
              </w:rPr>
              <w:t>白酒玻璃瓶的生产</w:t>
            </w:r>
            <w:r>
              <w:rPr>
                <w:rFonts w:hint="eastAsia" w:eastAsia="宋体" w:cs="Lucida Sans"/>
                <w:sz w:val="21"/>
                <w:szCs w:val="21"/>
              </w:rPr>
              <w:t>依据成熟工艺,按国家标准</w:t>
            </w:r>
            <w:r>
              <w:rPr>
                <w:rFonts w:hint="eastAsia" w:eastAsia="宋体" w:cs="Lucida Sans"/>
                <w:sz w:val="21"/>
                <w:szCs w:val="21"/>
                <w:lang w:eastAsia="zh-CN"/>
              </w:rPr>
              <w:t>、客户要求及图纸、</w:t>
            </w:r>
            <w:r>
              <w:rPr>
                <w:rFonts w:hint="eastAsia" w:eastAsia="宋体" w:cs="Lucida Sans"/>
                <w:sz w:val="21"/>
                <w:szCs w:val="21"/>
                <w:lang w:val="en-US" w:eastAsia="zh-CN"/>
              </w:rPr>
              <w:t>样瓶</w:t>
            </w:r>
            <w:r>
              <w:rPr>
                <w:rFonts w:hint="eastAsia" w:eastAsia="宋体" w:cs="Lucida Sans"/>
                <w:sz w:val="21"/>
                <w:szCs w:val="21"/>
                <w:lang w:eastAsia="zh-CN"/>
              </w:rPr>
              <w:t>进行</w:t>
            </w:r>
            <w:r>
              <w:rPr>
                <w:rFonts w:hint="eastAsia" w:eastAsia="宋体" w:cs="Lucida Sans"/>
                <w:sz w:val="21"/>
                <w:szCs w:val="21"/>
              </w:rPr>
              <w:t>生产,因此标准8.3条款“产品和服务的设计和开发”要求不适用。公司确保不适用的质量管理体系的产品和服务的设计和开发要求，不影响组织确保产品和服务合格以及增强顾客满意的能力或责任</w:t>
            </w:r>
            <w:r>
              <w:rPr>
                <w:rFonts w:hint="eastAsia" w:eastAsia="宋体" w:cs="Lucida Sans"/>
                <w:sz w:val="21"/>
                <w:szCs w:val="21"/>
                <w:lang w:eastAsia="zh-CN"/>
              </w:rPr>
              <w:t>。</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themeColor="text1"/>
                <w:spacing w:val="-10"/>
                <w:szCs w:val="21"/>
              </w:rPr>
            </w:pPr>
            <w:r>
              <w:rPr>
                <w:rFonts w:hint="eastAsia" w:ascii="宋体" w:hAnsi="宋体"/>
                <w:color w:val="000000" w:themeColor="text1"/>
                <w:spacing w:val="-10"/>
                <w:szCs w:val="21"/>
              </w:rPr>
              <w:t>关键过程（</w:t>
            </w:r>
            <w:r>
              <w:rPr>
                <w:rFonts w:ascii="宋体" w:hAnsi="宋体"/>
                <w:color w:val="000000" w:themeColor="text1"/>
                <w:spacing w:val="-10"/>
                <w:szCs w:val="21"/>
              </w:rPr>
              <w:t>QMS</w:t>
            </w:r>
            <w:r>
              <w:rPr>
                <w:rFonts w:hint="eastAsia" w:ascii="宋体" w:hAnsi="宋体"/>
                <w:color w:val="000000" w:themeColor="text1"/>
                <w:spacing w:val="-10"/>
                <w:szCs w:val="21"/>
              </w:rPr>
              <w:t>）的识别</w:t>
            </w:r>
          </w:p>
        </w:tc>
        <w:tc>
          <w:tcPr>
            <w:tcW w:w="4191" w:type="dxa"/>
            <w:shd w:val="clear" w:color="auto" w:fill="DBEEF3" w:themeFill="accent5" w:themeFillTint="32"/>
          </w:tcPr>
          <w:p>
            <w:pPr>
              <w:rPr>
                <w:rFonts w:hint="default" w:ascii="宋体" w:hAnsi="宋体" w:eastAsia="宋体" w:cs="Times New Roman"/>
                <w:color w:val="000000" w:themeColor="text1"/>
                <w:spacing w:val="-10"/>
                <w:szCs w:val="21"/>
                <w:lang w:val="en-US" w:eastAsia="zh-CN"/>
              </w:rPr>
            </w:pPr>
            <w:r>
              <w:rPr>
                <w:rFonts w:hint="eastAsia" w:ascii="宋体" w:hAnsi="宋体" w:cs="Times New Roman"/>
                <w:color w:val="000000" w:themeColor="text1"/>
                <w:spacing w:val="-10"/>
                <w:szCs w:val="21"/>
                <w:lang w:val="en-US" w:eastAsia="zh-CN"/>
              </w:rPr>
              <w:t>熔化过程，退火过程</w:t>
            </w:r>
          </w:p>
        </w:tc>
        <w:tc>
          <w:tcPr>
            <w:tcW w:w="1063" w:type="dxa"/>
            <w:shd w:val="clear" w:color="auto" w:fill="DBEEF3" w:themeFill="accent5" w:themeFillTint="32"/>
          </w:tcPr>
          <w:p>
            <w:pPr>
              <w:rPr>
                <w:rFonts w:ascii="宋体"/>
                <w:color w:val="000000" w:themeColor="text1"/>
                <w:spacing w:val="-10"/>
                <w:szCs w:val="21"/>
              </w:rPr>
            </w:pPr>
            <w:r>
              <w:rPr>
                <w:rFonts w:hint="eastAsia" w:ascii="宋体" w:hAnsi="宋体"/>
                <w:color w:val="000000" w:themeColor="text1"/>
                <w:spacing w:val="-10"/>
                <w:szCs w:val="21"/>
                <w:lang w:eastAsia="zh-CN"/>
              </w:rPr>
              <w:t>☑</w:t>
            </w:r>
            <w:r>
              <w:rPr>
                <w:rFonts w:hint="eastAsia" w:ascii="宋体" w:hAnsi="宋体"/>
                <w:color w:val="000000" w:themeColor="text1"/>
                <w:szCs w:val="21"/>
              </w:rPr>
              <w:t>合理</w:t>
            </w:r>
          </w:p>
        </w:tc>
        <w:tc>
          <w:tcPr>
            <w:tcW w:w="1637" w:type="dxa"/>
            <w:shd w:val="clear" w:color="auto" w:fill="DBEEF3" w:themeFill="accent5" w:themeFillTint="32"/>
          </w:tcPr>
          <w:p>
            <w:pPr>
              <w:rPr>
                <w:rFonts w:ascii="宋体"/>
                <w:color w:val="000000" w:themeColor="text1"/>
                <w:spacing w:val="-10"/>
                <w:szCs w:val="21"/>
              </w:rPr>
            </w:pPr>
            <w:r>
              <w:rPr>
                <w:rFonts w:hint="eastAsia" w:ascii="宋体" w:hAnsi="宋体"/>
                <w:color w:val="000000" w:themeColor="text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themeColor="text1"/>
                <w:szCs w:val="21"/>
              </w:rPr>
            </w:pPr>
            <w:r>
              <w:rPr>
                <w:rFonts w:hint="eastAsia" w:ascii="宋体" w:hAnsi="宋体"/>
                <w:color w:val="000000" w:themeColor="text1"/>
                <w:szCs w:val="21"/>
              </w:rPr>
              <w:t>需要确认过程（</w:t>
            </w:r>
            <w:r>
              <w:rPr>
                <w:rFonts w:ascii="宋体" w:hAnsi="宋体"/>
                <w:color w:val="000000" w:themeColor="text1"/>
                <w:szCs w:val="21"/>
              </w:rPr>
              <w:t>QMS</w:t>
            </w:r>
            <w:r>
              <w:rPr>
                <w:rFonts w:hint="eastAsia" w:ascii="宋体" w:hAnsi="宋体"/>
                <w:color w:val="000000" w:themeColor="text1"/>
                <w:szCs w:val="21"/>
              </w:rPr>
              <w:t>）</w:t>
            </w:r>
            <w:r>
              <w:rPr>
                <w:rFonts w:hint="eastAsia" w:ascii="宋体" w:hAnsi="宋体"/>
                <w:color w:val="000000" w:themeColor="text1"/>
                <w:spacing w:val="-10"/>
                <w:szCs w:val="21"/>
              </w:rPr>
              <w:t>的识别</w:t>
            </w:r>
          </w:p>
        </w:tc>
        <w:tc>
          <w:tcPr>
            <w:tcW w:w="4191" w:type="dxa"/>
            <w:shd w:val="clear" w:color="auto" w:fill="DBEEF3" w:themeFill="accent5" w:themeFillTint="32"/>
          </w:tcPr>
          <w:p>
            <w:pPr>
              <w:rPr>
                <w:rFonts w:hint="eastAsia" w:ascii="宋体" w:hAnsi="宋体" w:eastAsia="宋体" w:cs="Times New Roman"/>
                <w:color w:val="000000" w:themeColor="text1"/>
                <w:spacing w:val="-10"/>
                <w:szCs w:val="21"/>
                <w:lang w:val="en-US" w:eastAsia="zh-CN"/>
              </w:rPr>
            </w:pPr>
            <w:r>
              <w:rPr>
                <w:rFonts w:hint="eastAsia" w:ascii="宋体" w:hAnsi="宋体" w:cs="Times New Roman"/>
                <w:color w:val="000000" w:themeColor="text1"/>
                <w:spacing w:val="-10"/>
                <w:szCs w:val="21"/>
                <w:lang w:val="en-US" w:eastAsia="zh-CN"/>
              </w:rPr>
              <w:t>熔化过程，退火过程</w:t>
            </w:r>
          </w:p>
        </w:tc>
        <w:tc>
          <w:tcPr>
            <w:tcW w:w="1063" w:type="dxa"/>
            <w:shd w:val="clear" w:color="auto" w:fill="DBEEF3" w:themeFill="accent5" w:themeFillTint="32"/>
          </w:tcPr>
          <w:p>
            <w:pPr>
              <w:rPr>
                <w:rFonts w:ascii="宋体"/>
                <w:color w:val="000000" w:themeColor="text1"/>
                <w:spacing w:val="-10"/>
                <w:szCs w:val="21"/>
              </w:rPr>
            </w:pPr>
            <w:r>
              <w:rPr>
                <w:rFonts w:hint="eastAsia" w:ascii="宋体" w:hAnsi="宋体"/>
                <w:color w:val="000000" w:themeColor="text1"/>
                <w:spacing w:val="-10"/>
                <w:szCs w:val="21"/>
                <w:lang w:eastAsia="zh-CN"/>
              </w:rPr>
              <w:t>☑</w:t>
            </w:r>
            <w:r>
              <w:rPr>
                <w:rFonts w:hint="eastAsia" w:ascii="宋体" w:hAnsi="宋体"/>
                <w:color w:val="000000" w:themeColor="text1"/>
                <w:szCs w:val="21"/>
              </w:rPr>
              <w:t>合理</w:t>
            </w:r>
          </w:p>
        </w:tc>
        <w:tc>
          <w:tcPr>
            <w:tcW w:w="1637" w:type="dxa"/>
            <w:shd w:val="clear" w:color="auto" w:fill="DBEEF3" w:themeFill="accent5" w:themeFillTint="32"/>
          </w:tcPr>
          <w:p>
            <w:pPr>
              <w:rPr>
                <w:rFonts w:ascii="宋体"/>
                <w:color w:val="000000" w:themeColor="text1"/>
                <w:spacing w:val="-10"/>
                <w:szCs w:val="21"/>
              </w:rPr>
            </w:pPr>
            <w:r>
              <w:rPr>
                <w:rFonts w:hint="eastAsia" w:ascii="宋体" w:hAnsi="宋体"/>
                <w:color w:val="000000" w:themeColor="text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themeColor="text1"/>
                <w:spacing w:val="-10"/>
                <w:szCs w:val="21"/>
              </w:rPr>
            </w:pPr>
            <w:r>
              <w:rPr>
                <w:rFonts w:hint="eastAsia" w:ascii="宋体" w:hAnsi="宋体"/>
                <w:color w:val="000000" w:themeColor="text1"/>
                <w:spacing w:val="-10"/>
                <w:szCs w:val="21"/>
              </w:rPr>
              <w:t>外包过程（</w:t>
            </w:r>
            <w:r>
              <w:rPr>
                <w:rFonts w:ascii="宋体" w:hAnsi="宋体"/>
                <w:color w:val="000000" w:themeColor="text1"/>
                <w:spacing w:val="-10"/>
                <w:szCs w:val="21"/>
              </w:rPr>
              <w:t>QMS</w:t>
            </w:r>
            <w:r>
              <w:rPr>
                <w:rFonts w:hint="eastAsia" w:ascii="宋体" w:hAnsi="宋体"/>
                <w:color w:val="000000" w:themeColor="text1"/>
                <w:spacing w:val="-10"/>
                <w:szCs w:val="21"/>
              </w:rPr>
              <w:t>）的识别</w:t>
            </w:r>
          </w:p>
        </w:tc>
        <w:tc>
          <w:tcPr>
            <w:tcW w:w="4191" w:type="dxa"/>
            <w:shd w:val="clear" w:color="auto" w:fill="DBEEF3" w:themeFill="accent5" w:themeFillTint="32"/>
          </w:tcPr>
          <w:p>
            <w:pPr>
              <w:rPr>
                <w:rFonts w:hint="default" w:ascii="宋体" w:eastAsia="宋体"/>
                <w:color w:val="000000" w:themeColor="text1"/>
                <w:spacing w:val="-10"/>
                <w:szCs w:val="21"/>
                <w:lang w:val="en-US" w:eastAsia="zh-CN"/>
              </w:rPr>
            </w:pPr>
            <w:r>
              <w:rPr>
                <w:rFonts w:hint="eastAsia" w:ascii="宋体"/>
                <w:color w:val="000000" w:themeColor="text1"/>
                <w:spacing w:val="-10"/>
                <w:szCs w:val="21"/>
                <w:lang w:val="en-US" w:eastAsia="zh-CN"/>
              </w:rPr>
              <w:t>模具加工</w:t>
            </w:r>
          </w:p>
        </w:tc>
        <w:tc>
          <w:tcPr>
            <w:tcW w:w="1063" w:type="dxa"/>
            <w:shd w:val="clear" w:color="auto" w:fill="DBEEF3" w:themeFill="accent5" w:themeFillTint="32"/>
          </w:tcPr>
          <w:p>
            <w:pPr>
              <w:rPr>
                <w:rFonts w:ascii="宋体"/>
                <w:color w:val="000000" w:themeColor="text1"/>
                <w:spacing w:val="-10"/>
                <w:szCs w:val="21"/>
              </w:rPr>
            </w:pPr>
            <w:r>
              <w:rPr>
                <w:rFonts w:hint="eastAsia" w:ascii="宋体" w:hAnsi="宋体"/>
                <w:color w:val="000000" w:themeColor="text1"/>
                <w:spacing w:val="-10"/>
                <w:szCs w:val="21"/>
                <w:lang w:eastAsia="zh-CN"/>
              </w:rPr>
              <w:t>□</w:t>
            </w:r>
            <w:r>
              <w:rPr>
                <w:rFonts w:hint="eastAsia" w:ascii="宋体" w:hAnsi="宋体"/>
                <w:color w:val="000000" w:themeColor="text1"/>
                <w:szCs w:val="21"/>
              </w:rPr>
              <w:t>合理</w:t>
            </w:r>
          </w:p>
        </w:tc>
        <w:tc>
          <w:tcPr>
            <w:tcW w:w="1637" w:type="dxa"/>
            <w:shd w:val="clear" w:color="auto" w:fill="DBEEF3" w:themeFill="accent5" w:themeFillTint="32"/>
          </w:tcPr>
          <w:p>
            <w:pPr>
              <w:rPr>
                <w:rFonts w:ascii="宋体"/>
                <w:color w:val="000000" w:themeColor="text1"/>
                <w:spacing w:val="-10"/>
                <w:szCs w:val="21"/>
              </w:rPr>
            </w:pPr>
            <w:r>
              <w:rPr>
                <w:rFonts w:hint="eastAsia" w:ascii="宋体" w:hAnsi="宋体"/>
                <w:color w:val="000000" w:themeColor="text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auto"/>
                <w:szCs w:val="21"/>
              </w:rPr>
            </w:pPr>
            <w:r>
              <w:rPr>
                <w:rFonts w:hint="eastAsia" w:ascii="宋体" w:hAnsi="宋体"/>
                <w:color w:val="auto"/>
                <w:szCs w:val="21"/>
              </w:rPr>
              <w:t>特种设备管理</w:t>
            </w:r>
          </w:p>
        </w:tc>
        <w:tc>
          <w:tcPr>
            <w:tcW w:w="4191" w:type="dxa"/>
            <w:shd w:val="clear" w:color="auto" w:fill="DBEEF3" w:themeFill="accent5" w:themeFillTint="32"/>
          </w:tcPr>
          <w:p>
            <w:pPr>
              <w:rPr>
                <w:rFonts w:ascii="宋体"/>
                <w:color w:val="auto"/>
                <w:spacing w:val="-10"/>
                <w:szCs w:val="21"/>
              </w:rPr>
            </w:pPr>
            <w:r>
              <w:rPr>
                <w:rFonts w:hint="eastAsia" w:ascii="宋体" w:hAnsi="宋体"/>
                <w:color w:val="auto"/>
                <w:szCs w:val="21"/>
              </w:rPr>
              <w:t xml:space="preserve">是否按法规要求检测和备案要且完好运行     </w:t>
            </w:r>
          </w:p>
        </w:tc>
        <w:tc>
          <w:tcPr>
            <w:tcW w:w="1063" w:type="dxa"/>
            <w:shd w:val="clear" w:color="auto" w:fill="DBEEF3" w:themeFill="accent5" w:themeFillTint="32"/>
          </w:tcPr>
          <w:p>
            <w:pPr>
              <w:rPr>
                <w:rFonts w:ascii="宋体" w:hAnsi="宋体"/>
                <w:color w:val="auto"/>
                <w:szCs w:val="21"/>
              </w:rPr>
            </w:pPr>
            <w:r>
              <w:rPr>
                <w:rFonts w:hint="eastAsia" w:ascii="宋体" w:hAnsi="宋体"/>
                <w:color w:val="auto"/>
                <w:szCs w:val="21"/>
                <w:lang w:eastAsia="zh-CN"/>
              </w:rPr>
              <w:t>☑</w:t>
            </w:r>
            <w:r>
              <w:rPr>
                <w:rFonts w:hint="eastAsia" w:ascii="宋体" w:hAnsi="宋体"/>
                <w:color w:val="auto"/>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是否满足产品检测的需要                </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 xml:space="preserve">是     </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highlight w:val="none"/>
              </w:rPr>
            </w:pPr>
            <w:r>
              <w:rPr>
                <w:rFonts w:hint="eastAsia" w:ascii="宋体"/>
                <w:color w:val="000000"/>
                <w:spacing w:val="-10"/>
                <w:szCs w:val="21"/>
                <w:highlight w:val="none"/>
              </w:rPr>
              <w:t>市场抽查及质量事故</w:t>
            </w:r>
            <w:r>
              <w:rPr>
                <w:rFonts w:hint="eastAsia" w:ascii="宋体" w:hAnsi="宋体"/>
                <w:color w:val="000000"/>
                <w:spacing w:val="-10"/>
                <w:szCs w:val="21"/>
                <w:highlight w:val="none"/>
              </w:rPr>
              <w:t>（</w:t>
            </w:r>
            <w:r>
              <w:rPr>
                <w:rFonts w:ascii="宋体" w:hAnsi="宋体"/>
                <w:color w:val="000000"/>
                <w:spacing w:val="-10"/>
                <w:szCs w:val="21"/>
                <w:highlight w:val="none"/>
              </w:rPr>
              <w:t>QMS</w:t>
            </w:r>
            <w:r>
              <w:rPr>
                <w:rFonts w:hint="eastAsia" w:ascii="宋体" w:hAnsi="宋体"/>
                <w:color w:val="000000"/>
                <w:spacing w:val="-10"/>
                <w:szCs w:val="21"/>
                <w:highlight w:val="none"/>
              </w:rPr>
              <w:t>）</w:t>
            </w:r>
          </w:p>
        </w:tc>
        <w:tc>
          <w:tcPr>
            <w:tcW w:w="4191" w:type="dxa"/>
            <w:shd w:val="clear" w:color="auto" w:fill="DBEEF3" w:themeFill="accent5" w:themeFillTint="32"/>
          </w:tcPr>
          <w:p>
            <w:pPr>
              <w:rPr>
                <w:rFonts w:ascii="宋体"/>
                <w:color w:val="000000"/>
                <w:spacing w:val="-10"/>
                <w:szCs w:val="21"/>
                <w:highlight w:val="none"/>
              </w:rPr>
            </w:pPr>
            <w:r>
              <w:rPr>
                <w:rFonts w:hint="eastAsia" w:ascii="宋体"/>
                <w:color w:val="000000"/>
                <w:szCs w:val="21"/>
                <w:highlight w:val="none"/>
              </w:rPr>
              <w:t xml:space="preserve">是否受到行政主管部门的处罚       </w:t>
            </w:r>
          </w:p>
        </w:tc>
        <w:tc>
          <w:tcPr>
            <w:tcW w:w="1063" w:type="dxa"/>
            <w:shd w:val="clear" w:color="auto" w:fill="DBEEF3" w:themeFill="accent5"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DBEEF3" w:themeFill="accent5" w:themeFillTint="32"/>
          </w:tcPr>
          <w:p>
            <w:pPr>
              <w:rPr>
                <w:rFonts w:ascii="宋体" w:hAnsi="宋体"/>
                <w:color w:val="000000"/>
                <w:spacing w:val="-1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highlight w:val="none"/>
              </w:rPr>
            </w:pPr>
          </w:p>
        </w:tc>
        <w:tc>
          <w:tcPr>
            <w:tcW w:w="4191" w:type="dxa"/>
            <w:shd w:val="clear" w:color="auto" w:fill="DBEEF3" w:themeFill="accent5" w:themeFillTint="32"/>
          </w:tcPr>
          <w:p>
            <w:pPr>
              <w:rPr>
                <w:rFonts w:ascii="宋体"/>
                <w:color w:val="000000"/>
                <w:spacing w:val="-10"/>
                <w:szCs w:val="21"/>
                <w:highlight w:val="none"/>
              </w:rPr>
            </w:pPr>
            <w:r>
              <w:rPr>
                <w:rFonts w:hint="eastAsia" w:ascii="宋体"/>
                <w:color w:val="000000"/>
                <w:szCs w:val="21"/>
                <w:highlight w:val="none"/>
              </w:rPr>
              <w:t xml:space="preserve">是否因质量问题受到媒体的曝光        </w:t>
            </w:r>
          </w:p>
        </w:tc>
        <w:tc>
          <w:tcPr>
            <w:tcW w:w="1063" w:type="dxa"/>
            <w:shd w:val="clear" w:color="auto" w:fill="DBEEF3" w:themeFill="accent5" w:themeFillTint="32"/>
          </w:tcPr>
          <w:p>
            <w:pPr>
              <w:rPr>
                <w:rFonts w:asci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DBEEF3" w:themeFill="accent5" w:themeFillTint="32"/>
          </w:tcPr>
          <w:p>
            <w:pPr>
              <w:rPr>
                <w:rFonts w:ascii="宋体" w:hAnsi="宋体"/>
                <w:color w:val="000000"/>
                <w:spacing w:val="-1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highlight w:val="none"/>
              </w:rPr>
            </w:pPr>
          </w:p>
        </w:tc>
        <w:tc>
          <w:tcPr>
            <w:tcW w:w="4191" w:type="dxa"/>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 xml:space="preserve">是否发生了重大质量事故/召回         </w:t>
            </w:r>
          </w:p>
        </w:tc>
        <w:tc>
          <w:tcPr>
            <w:tcW w:w="1063" w:type="dxa"/>
            <w:shd w:val="clear" w:color="auto" w:fill="DBEEF3" w:themeFill="accent5"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DBEEF3" w:themeFill="accent5" w:themeFillTint="32"/>
          </w:tcPr>
          <w:p>
            <w:pPr>
              <w:rPr>
                <w:rFonts w:ascii="宋体" w:hAnsi="宋体"/>
                <w:color w:val="00000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highlight w:val="none"/>
              </w:rPr>
            </w:pPr>
          </w:p>
        </w:tc>
        <w:tc>
          <w:tcPr>
            <w:tcW w:w="4191" w:type="dxa"/>
            <w:shd w:val="clear" w:color="auto" w:fill="DBEEF3" w:themeFill="accent5" w:themeFillTint="32"/>
          </w:tcPr>
          <w:p>
            <w:pPr>
              <w:rPr>
                <w:rFonts w:ascii="宋体" w:hAnsi="宋体"/>
                <w:color w:val="000000"/>
                <w:szCs w:val="21"/>
                <w:highlight w:val="none"/>
              </w:rPr>
            </w:pPr>
            <w:r>
              <w:rPr>
                <w:rFonts w:hint="eastAsia" w:ascii="宋体" w:hAnsi="宋体"/>
                <w:color w:val="000000"/>
                <w:szCs w:val="21"/>
                <w:highlight w:val="none"/>
              </w:rPr>
              <w:t xml:space="preserve">是否有重大顾客投诉                  </w:t>
            </w:r>
          </w:p>
        </w:tc>
        <w:tc>
          <w:tcPr>
            <w:tcW w:w="1063" w:type="dxa"/>
            <w:shd w:val="clear" w:color="auto" w:fill="DBEEF3" w:themeFill="accent5" w:themeFillTint="32"/>
          </w:tcPr>
          <w:p>
            <w:pPr>
              <w:rPr>
                <w:rFonts w:ascii="宋体" w:hAnsi="宋体"/>
                <w:color w:val="000000"/>
                <w:szCs w:val="21"/>
                <w:highlight w:val="none"/>
              </w:rPr>
            </w:pPr>
            <w:r>
              <w:rPr>
                <w:rFonts w:hint="eastAsia" w:ascii="宋体" w:hAnsi="宋体"/>
                <w:color w:val="000000"/>
                <w:spacing w:val="-10"/>
                <w:szCs w:val="21"/>
                <w:highlight w:val="none"/>
              </w:rPr>
              <w:t>□</w:t>
            </w:r>
            <w:r>
              <w:rPr>
                <w:rFonts w:hint="eastAsia" w:ascii="宋体" w:hAnsi="宋体"/>
                <w:color w:val="000000"/>
                <w:szCs w:val="21"/>
                <w:highlight w:val="none"/>
              </w:rPr>
              <w:t xml:space="preserve">是      </w:t>
            </w:r>
          </w:p>
        </w:tc>
        <w:tc>
          <w:tcPr>
            <w:tcW w:w="1637" w:type="dxa"/>
            <w:shd w:val="clear" w:color="auto" w:fill="DBEEF3" w:themeFill="accent5" w:themeFillTint="32"/>
          </w:tcPr>
          <w:p>
            <w:pPr>
              <w:rPr>
                <w:rFonts w:ascii="宋体" w:hAnsi="宋体"/>
                <w:color w:val="000000"/>
                <w:szCs w:val="21"/>
                <w:highlight w:val="none"/>
              </w:rPr>
            </w:pPr>
            <w:r>
              <w:rPr>
                <w:rFonts w:hint="eastAsia" w:ascii="宋体" w:hAnsi="宋体"/>
                <w:color w:val="000000"/>
                <w:spacing w:val="-10"/>
                <w:szCs w:val="21"/>
                <w:highlight w:val="none"/>
                <w:lang w:eastAsia="zh-CN"/>
              </w:rPr>
              <w:t>☑</w:t>
            </w: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 xml:space="preserve">采购过程 </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themeColor="text1"/>
                <w:szCs w:val="21"/>
              </w:rPr>
            </w:pPr>
            <w:r>
              <w:rPr>
                <w:rFonts w:hint="eastAsia" w:ascii="宋体" w:hAnsi="宋体"/>
                <w:b/>
                <w:color w:val="000000" w:themeColor="text1"/>
                <w:szCs w:val="21"/>
              </w:rPr>
              <w:t>确定多场所/临时场所的分布、距离及预估路途时间（适用时）</w:t>
            </w:r>
            <w:r>
              <w:rPr>
                <w:rFonts w:ascii="宋体" w:hAnsi="宋体"/>
                <w:b/>
                <w:color w:val="000000" w:themeColor="text1"/>
                <w:szCs w:val="21"/>
              </w:rPr>
              <w:t xml:space="preserve">   </w:t>
            </w:r>
          </w:p>
        </w:tc>
        <w:tc>
          <w:tcPr>
            <w:tcW w:w="7134" w:type="dxa"/>
          </w:tcPr>
          <w:p>
            <w:pPr>
              <w:spacing w:line="360" w:lineRule="auto"/>
              <w:rPr>
                <w:rFonts w:hint="default" w:ascii="宋体" w:eastAsia="宋体"/>
                <w:b/>
                <w:color w:val="000000" w:themeColor="text1"/>
                <w:szCs w:val="21"/>
                <w:lang w:val="en-US" w:eastAsia="zh-CN"/>
              </w:rPr>
            </w:pPr>
            <w:r>
              <w:rPr>
                <w:rFonts w:hint="eastAsia"/>
                <w:color w:val="000000" w:themeColor="text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lang w:eastAsia="zh-CN"/>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7" w:name="二阶段审核日期"/>
            <w:r>
              <w:rPr>
                <w:rFonts w:hint="eastAsia" w:ascii="宋体"/>
                <w:b/>
                <w:color w:val="000000"/>
                <w:szCs w:val="21"/>
                <w:u w:val="single"/>
              </w:rPr>
              <w:t>2021-</w:t>
            </w:r>
            <w:r>
              <w:rPr>
                <w:rFonts w:hint="eastAsia" w:ascii="宋体"/>
                <w:b/>
                <w:color w:val="000000"/>
                <w:szCs w:val="21"/>
                <w:u w:val="single"/>
                <w:lang w:val="en-US" w:eastAsia="zh-CN"/>
              </w:rPr>
              <w:t>12</w:t>
            </w:r>
            <w:r>
              <w:rPr>
                <w:rFonts w:hint="eastAsia" w:ascii="宋体"/>
                <w:b/>
                <w:color w:val="000000"/>
                <w:szCs w:val="21"/>
                <w:u w:val="single"/>
              </w:rPr>
              <w:t>-</w:t>
            </w:r>
            <w:bookmarkEnd w:id="37"/>
            <w:r>
              <w:rPr>
                <w:rFonts w:hint="eastAsia" w:ascii="宋体"/>
                <w:b/>
                <w:color w:val="000000"/>
                <w:szCs w:val="21"/>
                <w:u w:val="single"/>
                <w:lang w:val="en-US" w:eastAsia="zh-CN"/>
              </w:rPr>
              <w:t>4、5</w:t>
            </w:r>
            <w:bookmarkStart w:id="38" w:name="_GoBack"/>
            <w:bookmarkEnd w:id="38"/>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 xml:space="preserve">可进行二阶段审核现场验证，存在的问题可与二阶段不符合项一同整改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 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hint="eastAsia" w:ascii="宋体" w:hAnsi="宋体" w:eastAsia="宋体"/>
                <w:b/>
                <w:color w:val="000000"/>
                <w:szCs w:val="21"/>
                <w:lang w:eastAsia="zh-CN"/>
              </w:rPr>
            </w:pPr>
            <w:r>
              <w:rPr>
                <w:rFonts w:hint="eastAsia"/>
                <w:lang w:eastAsia="zh-CN"/>
              </w:rPr>
              <w:t>白酒玻璃瓶的生产</w:t>
            </w:r>
          </w:p>
        </w:tc>
        <w:tc>
          <w:tcPr>
            <w:tcW w:w="1541" w:type="dxa"/>
            <w:vAlign w:val="center"/>
          </w:tcPr>
          <w:p>
            <w:pPr>
              <w:spacing w:line="400" w:lineRule="exact"/>
              <w:rPr>
                <w:rFonts w:ascii="宋体" w:hAnsi="宋体"/>
                <w:b/>
                <w:color w:val="000000"/>
                <w:szCs w:val="21"/>
              </w:rPr>
            </w:pPr>
            <w:r>
              <w:t>15.01.03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1870710</wp:posOffset>
            </wp:positionH>
            <wp:positionV relativeFrom="paragraph">
              <wp:posOffset>365125</wp:posOffset>
            </wp:positionV>
            <wp:extent cx="812165" cy="275590"/>
            <wp:effectExtent l="0" t="0" r="635" b="381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 xml:space="preserve">                  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hint="default" w:ascii="宋体" w:eastAsia="宋体"/>
          <w:b/>
          <w:color w:val="000000"/>
          <w:szCs w:val="21"/>
          <w:lang w:val="en-US" w:eastAsia="zh-CN"/>
        </w:rPr>
      </w:pPr>
      <w:r>
        <w:rPr>
          <w:rFonts w:hint="eastAsia" w:ascii="宋体" w:hAnsi="宋体"/>
          <w:b/>
          <w:color w:val="000000"/>
          <w:szCs w:val="21"/>
        </w:rPr>
        <w:t>日</w:t>
      </w:r>
      <w:r>
        <w:rPr>
          <w:rFonts w:hint="eastAsia" w:ascii="宋体" w:hAnsi="宋体"/>
          <w:b/>
          <w:color w:val="000000"/>
          <w:szCs w:val="21"/>
          <w:lang w:val="en-US" w:eastAsia="zh-CN"/>
        </w:rPr>
        <w:t xml:space="preserve">  </w:t>
      </w:r>
      <w:r>
        <w:rPr>
          <w:rFonts w:hint="eastAsia" w:ascii="宋体" w:hAnsi="宋体"/>
          <w:b/>
          <w:color w:val="000000"/>
          <w:szCs w:val="21"/>
        </w:rPr>
        <w:t>期</w:t>
      </w:r>
      <w:r>
        <w:rPr>
          <w:rFonts w:ascii="宋体" w:hAnsi="宋体"/>
          <w:b/>
          <w:color w:val="000000"/>
          <w:szCs w:val="21"/>
        </w:rPr>
        <w:t xml:space="preserve">: </w:t>
      </w:r>
      <w:r>
        <w:rPr>
          <w:rFonts w:hint="eastAsia"/>
          <w:b/>
          <w:color w:val="000000"/>
          <w:szCs w:val="21"/>
          <w:lang w:val="en-US" w:eastAsia="zh-CN"/>
        </w:rPr>
        <w:t>2021年11月26日</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6191"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922" w:type="dxa"/>
            <w:vAlign w:val="center"/>
          </w:tcPr>
          <w:p>
            <w:pPr>
              <w:pStyle w:val="7"/>
              <w:pBdr>
                <w:bottom w:val="none" w:color="auto" w:sz="0" w:space="0"/>
              </w:pBdr>
              <w:ind w:right="600"/>
              <w:jc w:val="both"/>
              <w:rPr>
                <w:color w:val="000000"/>
                <w:sz w:val="21"/>
                <w:szCs w:val="21"/>
              </w:rPr>
            </w:pPr>
          </w:p>
        </w:tc>
        <w:tc>
          <w:tcPr>
            <w:tcW w:w="1133" w:type="dxa"/>
            <w:vAlign w:val="center"/>
          </w:tcPr>
          <w:p>
            <w:pPr>
              <w:pStyle w:val="7"/>
              <w:pBdr>
                <w:bottom w:val="none" w:color="auto" w:sz="0" w:space="0"/>
              </w:pBdr>
              <w:ind w:right="600"/>
              <w:jc w:val="both"/>
              <w:rPr>
                <w:color w:val="000000"/>
                <w:sz w:val="21"/>
                <w:szCs w:val="21"/>
              </w:rPr>
            </w:pPr>
          </w:p>
        </w:tc>
        <w:tc>
          <w:tcPr>
            <w:tcW w:w="93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 xml:space="preserve">注：问题等级：  </w:t>
            </w:r>
            <w:r>
              <w:rPr>
                <w:szCs w:val="21"/>
              </w:rPr>
              <w:t>1 =</w:t>
            </w:r>
            <w:r>
              <w:rPr>
                <w:rFonts w:hint="eastAsia"/>
                <w:szCs w:val="21"/>
              </w:rPr>
              <w:t xml:space="preserve"> 改进建议；  </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735330</wp:posOffset>
                  </wp:positionH>
                  <wp:positionV relativeFrom="paragraph">
                    <wp:posOffset>36195</wp:posOffset>
                  </wp:positionV>
                  <wp:extent cx="812165" cy="275590"/>
                  <wp:effectExtent l="0" t="0" r="635" b="3810"/>
                  <wp:wrapNone/>
                  <wp:docPr id="2" name="图片 2"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2021年11月26日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2021年11月26日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 xml:space="preserve">所有严重问题全部整改，并符合要求   </w:t>
            </w:r>
            <w:r>
              <w:rPr>
                <w:rFonts w:hint="eastAsia"/>
                <w:b/>
                <w:color w:val="000000"/>
                <w:spacing w:val="-10"/>
                <w:szCs w:val="21"/>
              </w:rPr>
              <w:t>□未</w:t>
            </w:r>
            <w:r>
              <w:rPr>
                <w:rFonts w:hint="eastAsia"/>
                <w:b/>
                <w:color w:val="000000"/>
                <w:szCs w:val="21"/>
              </w:rPr>
              <w:t xml:space="preserve">按期完成整改     </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   □需再次安排一阶段审核    □不进入二阶段审核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1D0925EF"/>
    <w:rsid w:val="5BFD17BA"/>
    <w:rsid w:val="7C0400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26</TotalTime>
  <ScaleCrop>false</ScaleCrop>
  <LinksUpToDate>false</LinksUpToDate>
  <CharactersWithSpaces>9461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宋明珠</cp:lastModifiedBy>
  <dcterms:modified xsi:type="dcterms:W3CDTF">2021-12-04T06:23:01Z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