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cs="宋体"/>
              </w:rPr>
            </w:pPr>
            <w:r>
              <w:rPr>
                <w:rFonts w:hint="eastAsia" w:ascii="Times New Roman" w:hAnsi="Times New Roman" w:cs="宋体"/>
              </w:rPr>
              <w:t>过程与活动、</w:t>
            </w:r>
          </w:p>
          <w:p>
            <w:pPr>
              <w:rPr>
                <w:rFonts w:hint="eastAsia" w:ascii="Times New Roman" w:hAnsi="Times New Roman" w:cs="宋体"/>
              </w:rPr>
            </w:pPr>
            <w:r>
              <w:rPr>
                <w:rFonts w:hint="eastAsia" w:ascii="Times New Roman" w:hAnsi="Times New Roman" w:cs="宋体"/>
              </w:rPr>
              <w:t>抽样计划</w:t>
            </w:r>
          </w:p>
        </w:tc>
        <w:tc>
          <w:tcPr>
            <w:tcW w:w="960" w:type="dxa"/>
            <w:vMerge w:val="restart"/>
            <w:vAlign w:val="center"/>
          </w:tcPr>
          <w:p>
            <w:pPr>
              <w:rPr>
                <w:rFonts w:hint="eastAsia" w:ascii="Times New Roman" w:hAnsi="Times New Roman" w:cs="宋体"/>
              </w:rPr>
            </w:pPr>
            <w:r>
              <w:rPr>
                <w:rFonts w:hint="eastAsia" w:ascii="Times New Roman" w:hAnsi="Times New Roman" w:cs="宋体"/>
              </w:rPr>
              <w:t>涉及</w:t>
            </w:r>
          </w:p>
          <w:p>
            <w:pPr>
              <w:rPr>
                <w:rFonts w:hint="eastAsia" w:ascii="Times New Roman" w:hAnsi="Times New Roman" w:cs="宋体"/>
              </w:rPr>
            </w:pPr>
            <w:r>
              <w:rPr>
                <w:rFonts w:hint="eastAsia" w:ascii="Times New Roman" w:hAnsi="Times New Roman" w:cs="宋体"/>
              </w:rPr>
              <w:t>条款</w:t>
            </w:r>
          </w:p>
        </w:tc>
        <w:tc>
          <w:tcPr>
            <w:tcW w:w="10004" w:type="dxa"/>
            <w:vAlign w:val="center"/>
          </w:tcPr>
          <w:p>
            <w:pPr>
              <w:rPr>
                <w:rFonts w:hint="eastAsia" w:ascii="Times New Roman" w:hAnsi="Times New Roman" w:cs="宋体"/>
              </w:rPr>
            </w:pPr>
            <w:r>
              <w:rPr>
                <w:rFonts w:hint="eastAsia" w:ascii="Times New Roman" w:hAnsi="Times New Roman" w:cs="宋体"/>
              </w:rPr>
              <w:t>受审核部门：质检部    主管领导：</w:t>
            </w:r>
            <w:r>
              <w:rPr>
                <w:rFonts w:hint="default" w:ascii="宋体" w:hAnsi="宋体" w:eastAsia="宋体"/>
                <w:sz w:val="18"/>
                <w:szCs w:val="18"/>
                <w:lang w:val="en-US" w:eastAsia="zh-CN"/>
              </w:rPr>
              <w:t>佟奎</w:t>
            </w:r>
            <w:r>
              <w:rPr>
                <w:rFonts w:hint="eastAsia" w:ascii="Times New Roman" w:hAnsi="Times New Roman" w:cs="宋体"/>
              </w:rPr>
              <w:t xml:space="preserve">     陪同人员：</w:t>
            </w:r>
            <w:r>
              <w:rPr>
                <w:rFonts w:hint="default" w:ascii="宋体" w:hAnsi="宋体" w:eastAsia="宋体"/>
                <w:sz w:val="18"/>
                <w:szCs w:val="18"/>
                <w:lang w:val="en-US" w:eastAsia="zh-CN"/>
              </w:rPr>
              <w:t>邵立辉</w:t>
            </w:r>
          </w:p>
        </w:tc>
        <w:tc>
          <w:tcPr>
            <w:tcW w:w="1585" w:type="dxa"/>
            <w:vMerge w:val="restart"/>
            <w:vAlign w:val="center"/>
          </w:tcPr>
          <w:p>
            <w:pPr>
              <w:rPr>
                <w:rFonts w:hint="eastAsia" w:ascii="Times New Roman" w:hAnsi="Times New Roman" w:cs="宋体"/>
              </w:rPr>
            </w:pPr>
            <w:r>
              <w:rPr>
                <w:rFonts w:hint="eastAsia" w:ascii="Times New Roman" w:hAnsi="Times New Roman"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cs="宋体"/>
              </w:rPr>
            </w:pPr>
          </w:p>
        </w:tc>
        <w:tc>
          <w:tcPr>
            <w:tcW w:w="960" w:type="dxa"/>
            <w:vMerge w:val="continue"/>
            <w:vAlign w:val="center"/>
          </w:tcPr>
          <w:p>
            <w:pPr>
              <w:rPr>
                <w:rFonts w:hint="eastAsia" w:ascii="Times New Roman" w:hAnsi="Times New Roman" w:cs="宋体"/>
              </w:rPr>
            </w:pPr>
          </w:p>
        </w:tc>
        <w:tc>
          <w:tcPr>
            <w:tcW w:w="10004" w:type="dxa"/>
            <w:vAlign w:val="center"/>
          </w:tcPr>
          <w:p>
            <w:pPr>
              <w:rPr>
                <w:rFonts w:hint="eastAsia" w:ascii="Times New Roman" w:hAnsi="Times New Roman" w:cs="宋体"/>
              </w:rPr>
            </w:pPr>
            <w:r>
              <w:rPr>
                <w:rFonts w:hint="eastAsia" w:ascii="Times New Roman" w:hAnsi="Times New Roman" w:cs="宋体"/>
              </w:rPr>
              <w:t>审核员：</w:t>
            </w:r>
            <w:r>
              <w:rPr>
                <w:rFonts w:hint="eastAsia" w:cs="宋体"/>
                <w:lang w:val="en-US" w:eastAsia="zh-CN"/>
              </w:rPr>
              <w:t>张磊</w:t>
            </w:r>
            <w:r>
              <w:rPr>
                <w:rFonts w:hint="eastAsia" w:ascii="Times New Roman" w:hAnsi="Times New Roman" w:cs="宋体"/>
              </w:rPr>
              <w:t xml:space="preserve">    审核时间：202</w:t>
            </w:r>
            <w:r>
              <w:rPr>
                <w:rFonts w:hint="eastAsia" w:cs="宋体"/>
                <w:lang w:val="en-US" w:eastAsia="zh-CN"/>
              </w:rPr>
              <w:t>1</w:t>
            </w:r>
            <w:r>
              <w:rPr>
                <w:rFonts w:hint="eastAsia" w:ascii="Times New Roman" w:hAnsi="Times New Roman" w:cs="宋体"/>
              </w:rPr>
              <w:t>年</w:t>
            </w:r>
            <w:r>
              <w:rPr>
                <w:rFonts w:hint="eastAsia" w:cs="宋体"/>
                <w:lang w:val="en-US" w:eastAsia="zh-CN"/>
              </w:rPr>
              <w:t>1</w:t>
            </w:r>
            <w:r>
              <w:rPr>
                <w:rFonts w:hint="eastAsia" w:ascii="Times New Roman" w:hAnsi="Times New Roman" w:cs="宋体"/>
              </w:rPr>
              <w:t>月12日</w:t>
            </w:r>
          </w:p>
        </w:tc>
        <w:tc>
          <w:tcPr>
            <w:tcW w:w="1585" w:type="dxa"/>
            <w:vMerge w:val="continue"/>
          </w:tcPr>
          <w:p>
            <w:pPr>
              <w:rPr>
                <w:rFonts w:hint="eastAsia"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cs="宋体"/>
              </w:rPr>
            </w:pPr>
          </w:p>
        </w:tc>
        <w:tc>
          <w:tcPr>
            <w:tcW w:w="960" w:type="dxa"/>
            <w:vMerge w:val="continue"/>
            <w:vAlign w:val="center"/>
          </w:tcPr>
          <w:p>
            <w:pPr>
              <w:rPr>
                <w:rFonts w:hint="eastAsia" w:ascii="Times New Roman" w:hAnsi="Times New Roman" w:cs="宋体"/>
              </w:rPr>
            </w:pPr>
          </w:p>
        </w:tc>
        <w:tc>
          <w:tcPr>
            <w:tcW w:w="10004" w:type="dxa"/>
            <w:vAlign w:val="center"/>
          </w:tcPr>
          <w:p>
            <w:pPr>
              <w:snapToGrid w:val="0"/>
              <w:spacing w:line="240" w:lineRule="exact"/>
              <w:rPr>
                <w:rFonts w:hint="eastAsia" w:ascii="Times New Roman" w:hAnsi="Times New Roman" w:cs="Times New Roman"/>
                <w:sz w:val="20"/>
                <w:lang w:val="de-DE"/>
              </w:rPr>
            </w:pPr>
            <w:r>
              <w:rPr>
                <w:rFonts w:hint="eastAsia" w:ascii="Times New Roman" w:hAnsi="Times New Roman" w:cs="宋体"/>
              </w:rPr>
              <w:t>审核条款：</w:t>
            </w:r>
            <w:r>
              <w:rPr>
                <w:rFonts w:hint="eastAsia" w:ascii="Times New Roman" w:hAnsi="Times New Roman" w:cs="Times New Roman"/>
                <w:sz w:val="20"/>
                <w:lang w:val="de-DE"/>
              </w:rPr>
              <w:t xml:space="preserve">EMS-2015 </w:t>
            </w:r>
          </w:p>
          <w:p>
            <w:pPr>
              <w:rPr>
                <w:rFonts w:hint="eastAsia" w:ascii="Times New Roman" w:hAnsi="Times New Roman" w:cs="宋体"/>
              </w:rPr>
            </w:pPr>
            <w:r>
              <w:rPr>
                <w:rFonts w:hint="eastAsia" w:ascii="宋体" w:hAnsi="宋体" w:cs="新宋体"/>
                <w:sz w:val="18"/>
                <w:szCs w:val="18"/>
              </w:rPr>
              <w:t>5.3组织的角色、职责和权限、6.1.2环境因素；6.2目标及其达成的策划；8.1运行策划和控制；8.2应急准备和响应</w:t>
            </w:r>
          </w:p>
        </w:tc>
        <w:tc>
          <w:tcPr>
            <w:tcW w:w="1585" w:type="dxa"/>
            <w:vMerge w:val="continue"/>
          </w:tcPr>
          <w:p>
            <w:pPr>
              <w:rPr>
                <w:rFonts w:hint="eastAsia"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Times New Roman" w:hAnsi="Times New Roman" w:cs="宋体"/>
              </w:rPr>
            </w:pPr>
            <w:r>
              <w:rPr>
                <w:rFonts w:hint="eastAsia" w:ascii="Times New Roman" w:hAnsi="Times New Roman" w:cs="宋体"/>
              </w:rPr>
              <w:t>职责和权限</w:t>
            </w:r>
          </w:p>
        </w:tc>
        <w:tc>
          <w:tcPr>
            <w:tcW w:w="960" w:type="dxa"/>
            <w:vAlign w:val="center"/>
          </w:tcPr>
          <w:p>
            <w:pPr>
              <w:rPr>
                <w:rFonts w:hint="eastAsia" w:ascii="Times New Roman" w:hAnsi="Times New Roman" w:cs="宋体"/>
              </w:rPr>
            </w:pPr>
            <w:r>
              <w:rPr>
                <w:rFonts w:hint="eastAsia" w:cs="宋体"/>
                <w:lang w:val="en-US" w:eastAsia="zh-CN"/>
              </w:rPr>
              <w:t>E</w:t>
            </w:r>
            <w:r>
              <w:rPr>
                <w:rFonts w:hint="eastAsia" w:ascii="Times New Roman" w:hAnsi="Times New Roman" w:cs="宋体"/>
              </w:rPr>
              <w:t>5.3</w:t>
            </w:r>
          </w:p>
        </w:tc>
        <w:tc>
          <w:tcPr>
            <w:tcW w:w="10004" w:type="dxa"/>
            <w:vAlign w:val="center"/>
          </w:tcPr>
          <w:p>
            <w:pPr>
              <w:rPr>
                <w:rFonts w:hint="eastAsia" w:ascii="Times New Roman" w:hAnsi="Times New Roman" w:cs="宋体"/>
              </w:rPr>
            </w:pPr>
            <w:r>
              <w:rPr>
                <w:rFonts w:hint="eastAsia" w:ascii="Times New Roman" w:hAnsi="Times New Roman" w:cs="宋体"/>
              </w:rPr>
              <w:t>提供岗位职责与任职要求，对岗位职责和任职条件进行了描述。</w:t>
            </w:r>
          </w:p>
          <w:p>
            <w:pPr>
              <w:rPr>
                <w:rFonts w:hint="eastAsia" w:ascii="Times New Roman" w:hAnsi="Times New Roman" w:cs="宋体"/>
              </w:rPr>
            </w:pPr>
            <w:r>
              <w:rPr>
                <w:rFonts w:hint="eastAsia" w:ascii="Times New Roman" w:hAnsi="Times New Roman" w:cs="宋体"/>
              </w:rPr>
              <w:t>计量检测设备 及产品检验</w:t>
            </w:r>
          </w:p>
          <w:p>
            <w:pPr>
              <w:rPr>
                <w:rFonts w:hint="eastAsia" w:ascii="Times New Roman" w:hAnsi="Times New Roman" w:cs="宋体"/>
              </w:rPr>
            </w:pPr>
            <w:r>
              <w:rPr>
                <w:rFonts w:hint="eastAsia" w:ascii="Times New Roman" w:hAnsi="Times New Roman" w:cs="宋体"/>
              </w:rPr>
              <w:t>职责和权限与手册描述基本一致</w:t>
            </w:r>
          </w:p>
        </w:tc>
        <w:tc>
          <w:tcPr>
            <w:tcW w:w="1585" w:type="dxa"/>
          </w:tcPr>
          <w:p>
            <w:pPr>
              <w:rPr>
                <w:rFonts w:hint="eastAsia"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cs="宋体"/>
              </w:rPr>
            </w:pPr>
            <w:r>
              <w:rPr>
                <w:rFonts w:hint="eastAsia" w:ascii="Times New Roman" w:hAnsi="Times New Roman" w:cs="Times New Roman"/>
                <w:lang w:eastAsia="zh-CN"/>
              </w:rPr>
              <w:t>目标</w:t>
            </w:r>
          </w:p>
        </w:tc>
        <w:tc>
          <w:tcPr>
            <w:tcW w:w="960" w:type="dxa"/>
            <w:vAlign w:val="center"/>
          </w:tcPr>
          <w:p>
            <w:pPr>
              <w:rPr>
                <w:rFonts w:hint="eastAsia" w:ascii="Times New Roman" w:hAnsi="Times New Roman" w:cs="Times New Roman"/>
                <w:lang w:val="en-US" w:eastAsia="zh-CN"/>
              </w:rPr>
            </w:pPr>
            <w:r>
              <w:rPr>
                <w:rFonts w:hint="eastAsia" w:cs="Times New Roman"/>
                <w:lang w:eastAsia="zh-CN"/>
              </w:rPr>
              <w:t>E</w:t>
            </w:r>
          </w:p>
          <w:p>
            <w:pPr>
              <w:rPr>
                <w:rFonts w:hint="eastAsia" w:ascii="Times New Roman" w:hAnsi="Times New Roman" w:cs="宋体"/>
              </w:rPr>
            </w:pPr>
            <w:r>
              <w:rPr>
                <w:rFonts w:hint="eastAsia" w:ascii="Times New Roman" w:hAnsi="Times New Roman" w:cs="Times New Roman"/>
                <w:lang w:val="en-US" w:eastAsia="zh-CN"/>
              </w:rPr>
              <w:t>6.2</w:t>
            </w:r>
          </w:p>
        </w:tc>
        <w:tc>
          <w:tcPr>
            <w:tcW w:w="10004"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实际制定了环境、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组织的的环境目标如下：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4904"/>
              <w:gridCol w:w="879"/>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numPr>
                      <w:ilvl w:val="0"/>
                      <w:numId w:val="0"/>
                    </w:numPr>
                    <w:spacing w:line="280" w:lineRule="exact"/>
                    <w:ind w:firstLine="36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w:t>
                  </w:r>
                </w:p>
              </w:tc>
              <w:tc>
                <w:tcPr>
                  <w:tcW w:w="0" w:type="auto"/>
                  <w:vAlign w:val="top"/>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管理方案及措施</w:t>
                  </w:r>
                </w:p>
              </w:tc>
              <w:tc>
                <w:tcPr>
                  <w:tcW w:w="0" w:type="auto"/>
                </w:tcPr>
                <w:p>
                  <w:pPr>
                    <w:numPr>
                      <w:ilvl w:val="0"/>
                      <w:numId w:val="0"/>
                    </w:numPr>
                    <w:spacing w:line="280" w:lineRule="exact"/>
                    <w:ind w:firstLine="36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周期</w:t>
                  </w:r>
                </w:p>
              </w:tc>
              <w:tc>
                <w:tcPr>
                  <w:tcW w:w="0" w:type="auto"/>
                  <w:vAlign w:val="top"/>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36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火灾事故为零</w:t>
                  </w:r>
                </w:p>
              </w:tc>
              <w:tc>
                <w:tcPr>
                  <w:tcW w:w="0" w:type="auto"/>
                  <w:vAlign w:val="top"/>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1、定期进行应急预案培训和演练；</w:t>
                  </w:r>
                </w:p>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2、定期进行消防设施检查。</w:t>
                  </w:r>
                </w:p>
              </w:tc>
              <w:tc>
                <w:tcPr>
                  <w:tcW w:w="0" w:type="auto"/>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每季度</w:t>
                  </w:r>
                </w:p>
              </w:tc>
              <w:tc>
                <w:tcPr>
                  <w:tcW w:w="0" w:type="auto"/>
                  <w:vAlign w:val="top"/>
                </w:tcPr>
                <w:p>
                  <w:pPr>
                    <w:numPr>
                      <w:ilvl w:val="0"/>
                      <w:numId w:val="0"/>
                    </w:numPr>
                    <w:spacing w:line="280" w:lineRule="exact"/>
                    <w:ind w:firstLine="36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灭火器有效且充足已举行应急培训和演练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36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固废分类回收率 100%</w:t>
                  </w:r>
                </w:p>
              </w:tc>
              <w:tc>
                <w:tcPr>
                  <w:tcW w:w="0" w:type="auto"/>
                  <w:vAlign w:val="top"/>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 建立并完善环境管理制度，将目标与责任分解落实，并 对目标的实现情况进行监督检查。</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 对工作人员进行教育培训，增强员工的环保意识和技术 水平。</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 购备垃圾箱，及时回收，分类堆放。</w:t>
                  </w:r>
                </w:p>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（4） 与销售商或厂家联系，力争使废物能再生或重新利用。</w:t>
                  </w:r>
                </w:p>
              </w:tc>
              <w:tc>
                <w:tcPr>
                  <w:tcW w:w="0" w:type="auto"/>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每季度</w:t>
                  </w:r>
                </w:p>
              </w:tc>
              <w:tc>
                <w:tcPr>
                  <w:tcW w:w="0" w:type="auto"/>
                  <w:vAlign w:val="top"/>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制度相应的管理制度</w:t>
                  </w:r>
                </w:p>
                <w:p>
                  <w:pPr>
                    <w:numPr>
                      <w:ilvl w:val="0"/>
                      <w:numId w:val="0"/>
                    </w:numPr>
                    <w:spacing w:line="280" w:lineRule="exact"/>
                    <w:ind w:firstLine="36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对人员进行培训</w:t>
                  </w:r>
                </w:p>
                <w:p>
                  <w:pPr>
                    <w:numPr>
                      <w:ilvl w:val="0"/>
                      <w:numId w:val="0"/>
                    </w:numPr>
                    <w:spacing w:line="280" w:lineRule="exact"/>
                    <w:ind w:firstLine="36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垃圾已经分类存放</w:t>
                  </w:r>
                </w:p>
                <w:p>
                  <w:pPr>
                    <w:numPr>
                      <w:ilvl w:val="0"/>
                      <w:numId w:val="0"/>
                    </w:numPr>
                    <w:spacing w:line="280" w:lineRule="exact"/>
                    <w:ind w:firstLine="36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能回收的已经回收</w:t>
                  </w:r>
                </w:p>
              </w:tc>
            </w:tr>
          </w:tbl>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组织对环境目标、指标在相关职能层次上予以分解，基本能够满足要求，具体见各部门6.2目标监视记录。</w:t>
            </w:r>
          </w:p>
          <w:p>
            <w:pPr>
              <w:numPr>
                <w:ilvl w:val="0"/>
                <w:numId w:val="0"/>
              </w:numPr>
              <w:spacing w:line="280" w:lineRule="exact"/>
              <w:ind w:left="0" w:leftChars="0" w:firstLine="420" w:firstLineChars="200"/>
              <w:rPr>
                <w:rFonts w:hint="eastAsia" w:ascii="Times New Roman" w:hAnsi="Times New Roman" w:cs="宋体"/>
              </w:rPr>
            </w:pPr>
            <w:r>
              <w:rPr>
                <w:rFonts w:hint="eastAsia" w:ascii="等线" w:hAnsi="等线" w:eastAsia="等线" w:cs="等线"/>
                <w:sz w:val="21"/>
                <w:szCs w:val="21"/>
                <w:lang w:val="en-US" w:eastAsia="zh-CN"/>
              </w:rPr>
              <w:t>查见《目标指标管理方案检查表》，均有相应的监视和评审记录，符合控制要求。</w:t>
            </w:r>
          </w:p>
        </w:tc>
        <w:tc>
          <w:tcPr>
            <w:tcW w:w="1585" w:type="dxa"/>
          </w:tcPr>
          <w:p>
            <w:pPr>
              <w:rPr>
                <w:rFonts w:hint="eastAsia"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160" w:type="dxa"/>
            <w:vAlign w:val="top"/>
          </w:tcPr>
          <w:p>
            <w:pPr>
              <w:pStyle w:val="11"/>
              <w:rPr>
                <w:rFonts w:hint="eastAsia" w:ascii="Times New Roman" w:hAnsi="Times New Roman" w:cs="宋体"/>
                <w:lang w:val="en-US" w:eastAsia="zh-CN"/>
              </w:rPr>
            </w:pPr>
            <w:r>
              <w:rPr>
                <w:rFonts w:hint="eastAsia" w:ascii="等线" w:hAnsi="等线" w:eastAsia="等线" w:cs="等线"/>
                <w:bCs w:val="0"/>
                <w:spacing w:val="0"/>
                <w:kern w:val="2"/>
                <w:sz w:val="21"/>
                <w:szCs w:val="21"/>
                <w:lang w:val="en-US" w:eastAsia="zh-CN" w:bidi="ar-SA"/>
              </w:rPr>
              <w:t>组织的环境因素风险评价</w:t>
            </w:r>
          </w:p>
        </w:tc>
        <w:tc>
          <w:tcPr>
            <w:tcW w:w="960" w:type="dxa"/>
            <w:vAlign w:val="top"/>
          </w:tcPr>
          <w:p>
            <w:pPr>
              <w:pStyle w:val="11"/>
              <w:rPr>
                <w:rFonts w:hint="default" w:ascii="Times New Roman" w:hAnsi="Times New Roman" w:cs="宋体"/>
                <w:lang w:val="en-US" w:eastAsia="zh-CN"/>
              </w:rPr>
            </w:pPr>
            <w:r>
              <w:rPr>
                <w:rFonts w:hint="eastAsia" w:ascii="等线" w:hAnsi="等线" w:eastAsia="等线" w:cs="等线"/>
                <w:bCs w:val="0"/>
                <w:spacing w:val="0"/>
                <w:kern w:val="2"/>
                <w:sz w:val="21"/>
                <w:szCs w:val="21"/>
                <w:lang w:val="en-US" w:eastAsia="zh-CN" w:bidi="ar-SA"/>
              </w:rPr>
              <w:t>E6.1.2</w:t>
            </w:r>
          </w:p>
        </w:tc>
        <w:tc>
          <w:tcPr>
            <w:tcW w:w="10004" w:type="dxa"/>
            <w:vAlign w:val="center"/>
          </w:tcPr>
          <w:p>
            <w:pPr>
              <w:pStyle w:val="1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组织根据手册第6.1.2条款、《环境因素的识别与评价控制程序》要求，由办公室负责指导各部门环境因素的调查、评价、汇总、登记、审定及更新，各部门负责组织实施，办公室负责汇总整理。</w:t>
            </w:r>
          </w:p>
          <w:p>
            <w:pPr>
              <w:pStyle w:val="1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查看组织《环境因素辨识评价一览表》，组织在办公区、仓库等场所，按照活动过程调查、识别和确定了环境因素及其环境影响，对环境因素的状态进行评价，对应责任部门明确，有相应的保存期限、责任人和制定日期，基本满足环境因素识别、确定和保持要求。</w:t>
            </w:r>
          </w:p>
          <w:p>
            <w:pPr>
              <w:pStyle w:val="11"/>
              <w:ind w:firstLine="420" w:firstLineChars="200"/>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组织按照《环境因素识别与评价程序》准则确定了重要环境因素，抽查组织《重要环境因素清单》内容如下：</w:t>
            </w:r>
          </w:p>
          <w:tbl>
            <w:tblPr>
              <w:tblStyle w:val="7"/>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938"/>
              <w:gridCol w:w="3323"/>
              <w:gridCol w:w="1787"/>
              <w:gridCol w:w="85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序号</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环境因素</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活动点/工序或部位</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环境影响</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时态/状态</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0" w:type="auto"/>
                  <w:tcBorders>
                    <w:bottom w:val="single" w:color="auto" w:sz="4" w:space="0"/>
                  </w:tcBorders>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w:t>
                  </w:r>
                </w:p>
              </w:tc>
              <w:tc>
                <w:tcPr>
                  <w:tcW w:w="0" w:type="auto"/>
                  <w:tcBorders>
                    <w:bottom w:val="single" w:color="auto" w:sz="4" w:space="0"/>
                  </w:tcBorders>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固废的排放</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办公废旧灯管、电池、磁盘等废弃、生活垃圾的排放</w:t>
                  </w:r>
                </w:p>
              </w:tc>
              <w:tc>
                <w:tcPr>
                  <w:tcW w:w="0" w:type="auto"/>
                  <w:tcBorders>
                    <w:bottom w:val="single" w:color="auto" w:sz="4" w:space="0"/>
                  </w:tcBorders>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固废处理</w:t>
                  </w:r>
                </w:p>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污染土壤</w:t>
                  </w:r>
                </w:p>
              </w:tc>
              <w:tc>
                <w:tcPr>
                  <w:tcW w:w="0" w:type="auto"/>
                  <w:tcBorders>
                    <w:bottom w:val="single" w:color="auto" w:sz="4" w:space="0"/>
                  </w:tcBorders>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现在/正常</w:t>
                  </w:r>
                </w:p>
              </w:tc>
              <w:tc>
                <w:tcPr>
                  <w:tcW w:w="0" w:type="auto"/>
                  <w:tcBorders>
                    <w:bottom w:val="single" w:color="auto" w:sz="4" w:space="0"/>
                  </w:tcBorders>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①目标、指标及环境管理方案</w:t>
                  </w:r>
                </w:p>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潜在火灾</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办公、后勤生活</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大气、土壤等综合性污染</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现在/正常</w:t>
                  </w:r>
                </w:p>
              </w:tc>
              <w:tc>
                <w:tcPr>
                  <w:tcW w:w="0" w:type="auto"/>
                  <w:noWrap w:val="0"/>
                  <w:vAlign w:val="center"/>
                </w:tcPr>
                <w:p>
                  <w:pPr>
                    <w:spacing w:line="24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①应急方案</w:t>
                  </w:r>
                </w:p>
              </w:tc>
            </w:tr>
          </w:tbl>
          <w:p>
            <w:pPr>
              <w:pStyle w:val="11"/>
              <w:ind w:firstLine="420" w:firstLineChars="200"/>
              <w:rPr>
                <w:rFonts w:hint="eastAsia" w:ascii="Times New Roman" w:hAnsi="Times New Roman" w:cs="宋体"/>
                <w:lang w:val="en-US" w:eastAsia="zh-CN"/>
              </w:rPr>
            </w:pPr>
            <w:r>
              <w:rPr>
                <w:rFonts w:hint="eastAsia" w:ascii="等线" w:hAnsi="等线" w:eastAsia="等线" w:cs="等线"/>
                <w:bCs w:val="0"/>
                <w:spacing w:val="0"/>
                <w:kern w:val="2"/>
                <w:sz w:val="21"/>
                <w:szCs w:val="21"/>
                <w:lang w:val="en-US" w:eastAsia="zh-CN" w:bidi="ar-SA"/>
              </w:rPr>
              <w:t>重要环境因素识别、评价与实际吻合，管理方案明确控制措施基本能够满足控制要求。</w:t>
            </w:r>
          </w:p>
        </w:tc>
        <w:tc>
          <w:tcPr>
            <w:tcW w:w="1585" w:type="dxa"/>
          </w:tcPr>
          <w:p>
            <w:pPr>
              <w:rPr>
                <w:rFonts w:hint="eastAsia"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kinsoku/>
              <w:wordWrap/>
              <w:overflowPunct/>
              <w:topLinePunct w:val="0"/>
              <w:bidi w:val="0"/>
              <w:adjustRightInd w:val="0"/>
              <w:snapToGrid w:val="0"/>
              <w:spacing w:after="0" w:line="240" w:lineRule="auto"/>
              <w:jc w:val="center"/>
              <w:rPr>
                <w:rFonts w:hint="eastAsia" w:ascii="Times New Roman" w:hAnsi="Times New Roman" w:cs="宋体"/>
                <w:lang w:val="en-US" w:eastAsia="zh-CN"/>
              </w:rPr>
            </w:pPr>
            <w:r>
              <w:rPr>
                <w:rFonts w:hint="eastAsia" w:ascii="宋体" w:hAnsi="宋体" w:eastAsia="宋体" w:cs="新宋体"/>
                <w:b w:val="0"/>
                <w:sz w:val="21"/>
                <w:szCs w:val="21"/>
              </w:rPr>
              <w:t>运行策划和控制</w:t>
            </w:r>
          </w:p>
        </w:tc>
        <w:tc>
          <w:tcPr>
            <w:tcW w:w="960" w:type="dxa"/>
            <w:vAlign w:val="top"/>
          </w:tcPr>
          <w:p>
            <w:pPr>
              <w:keepNext w:val="0"/>
              <w:keepLines w:val="0"/>
              <w:pageBreakBefore w:val="0"/>
              <w:kinsoku/>
              <w:wordWrap/>
              <w:overflowPunct/>
              <w:topLinePunct w:val="0"/>
              <w:bidi w:val="0"/>
              <w:spacing w:after="0" w:line="240" w:lineRule="auto"/>
              <w:rPr>
                <w:rFonts w:hint="eastAsia" w:ascii="Times New Roman" w:hAnsi="Times New Roman" w:cs="宋体"/>
                <w:lang w:val="en-US" w:eastAsia="zh-CN"/>
              </w:rPr>
            </w:pPr>
            <w:r>
              <w:rPr>
                <w:rFonts w:hint="eastAsia" w:ascii="宋体" w:hAnsi="宋体" w:cs="新宋体"/>
                <w:b w:val="0"/>
                <w:sz w:val="21"/>
                <w:szCs w:val="21"/>
                <w:lang w:val="en-US" w:eastAsia="zh-CN"/>
              </w:rPr>
              <w:t>E</w:t>
            </w:r>
            <w:r>
              <w:rPr>
                <w:rFonts w:hint="eastAsia" w:ascii="宋体" w:hAnsi="宋体" w:eastAsia="宋体" w:cs="新宋体"/>
                <w:b w:val="0"/>
                <w:sz w:val="21"/>
                <w:szCs w:val="21"/>
              </w:rPr>
              <w:t>8.1</w:t>
            </w:r>
          </w:p>
        </w:tc>
        <w:tc>
          <w:tcPr>
            <w:tcW w:w="10004" w:type="dxa"/>
            <w:vAlign w:val="center"/>
          </w:tcPr>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制定了《销售服务提供控制程序》、《环境与职业健康安全运行控制程序》、《环境及安全监视和测量控制程序》等过程控制准则，根据准则要求，行政部负责对固体废弃物、能资源消耗、火灾预防等经营活动过程中重要环境因素采取控制措施的监督管理以及对相关方环境表现情况的监督管理。</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 xml:space="preserve">1.组织产生的固废主要包括：一般固废：办公废旧灯管、电池、磁盘等废弃、办公生活垃圾。办公废旧灯管、电池、磁盘等废弃物，由供应商回购，提供供应商环境安全告知书，但未签订相关回收合同。办公生活垃圾，行政部负责垃圾分类，交物业统一处理。提供固体废弃物处置统计表，登记生活垃圾、废纸、废电池等处置记录； </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2.能源资源管控</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组织办公区域注意节水、节电、节油，人走关闭开关，未发现有漏水和浪费电能的现象。</w:t>
            </w:r>
          </w:p>
          <w:p>
            <w:p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3.潜在火灾管控</w:t>
            </w:r>
          </w:p>
          <w:p>
            <w:pPr>
              <w:ind w:left="210" w:leftChars="100" w:firstLine="210" w:firstLineChars="100"/>
              <w:jc w:val="left"/>
              <w:rPr>
                <w:rFonts w:hint="eastAsia" w:ascii="等线" w:hAnsi="等线" w:eastAsia="等线" w:cs="等线"/>
                <w:color w:val="FF0000"/>
                <w:lang w:val="en-US" w:eastAsia="zh-CN"/>
              </w:rPr>
            </w:pPr>
            <w:bookmarkStart w:id="0" w:name="_GoBack"/>
            <w:r>
              <w:rPr>
                <w:rFonts w:hint="eastAsia" w:ascii="等线" w:hAnsi="等线" w:eastAsia="等线" w:cs="等线"/>
                <w:color w:val="auto"/>
                <w:lang w:val="en-US" w:eastAsia="zh-CN"/>
              </w:rPr>
              <w:t>组织办公场所均配有灭火器，统一管理维护，经抽查，均处于有效状态，提供《环境安全运行检查记录》；</w:t>
            </w:r>
            <w:bookmarkEnd w:id="0"/>
          </w:p>
          <w:p>
            <w:pPr>
              <w:numPr>
                <w:ilvl w:val="0"/>
                <w:numId w:val="1"/>
              </w:num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用电安全</w:t>
            </w:r>
          </w:p>
          <w:p>
            <w:pPr>
              <w:numPr>
                <w:ilvl w:val="0"/>
                <w:numId w:val="0"/>
              </w:num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由行政部统一组织用电等安全检查表，要求人走断电，严禁私拉电线、检查设备是否漏电、通过日常安全教育避免用电违章作业等。</w:t>
            </w:r>
          </w:p>
          <w:p>
            <w:pPr>
              <w:numPr>
                <w:ilvl w:val="0"/>
                <w:numId w:val="1"/>
              </w:num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交通事故</w:t>
            </w:r>
          </w:p>
          <w:p>
            <w:pPr>
              <w:numPr>
                <w:ilvl w:val="0"/>
                <w:numId w:val="0"/>
              </w:num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开展日常交通安全教育，人员出行遵守交通法规。</w:t>
            </w:r>
          </w:p>
          <w:p>
            <w:pPr>
              <w:numPr>
                <w:ilvl w:val="0"/>
                <w:numId w:val="1"/>
              </w:numPr>
              <w:ind w:left="0" w:leftChars="0"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防疫要求</w:t>
            </w:r>
          </w:p>
          <w:p>
            <w:pPr>
              <w:numPr>
                <w:ilvl w:val="0"/>
                <w:numId w:val="0"/>
              </w:numPr>
              <w:ind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不因公出差到高风险区域，人员外行要求佩戴口罩，上下班进出公司监测体温，查看健康码和行程程；</w:t>
            </w:r>
          </w:p>
          <w:p>
            <w:pPr>
              <w:numPr>
                <w:ilvl w:val="0"/>
                <w:numId w:val="1"/>
              </w:numPr>
              <w:ind w:left="0" w:leftChars="0" w:firstLine="420" w:firstLineChars="200"/>
              <w:jc w:val="left"/>
              <w:rPr>
                <w:rFonts w:hint="eastAsia" w:ascii="等线" w:hAnsi="等线" w:eastAsia="等线" w:cs="等线"/>
                <w:lang w:val="en-US" w:eastAsia="zh-CN"/>
              </w:rPr>
            </w:pPr>
            <w:r>
              <w:rPr>
                <w:rFonts w:hint="eastAsia" w:ascii="等线" w:hAnsi="等线" w:eastAsia="等线" w:cs="等线"/>
                <w:lang w:val="en-US" w:eastAsia="zh-CN"/>
              </w:rPr>
              <w:t>提供防护用品发放标准和发放记录，标准中发放对象覆盖全部员工，防护用品包括口罩等防护用品；发放记录显示，发放人、领用人、领用用品名称、数量、时间等均有清晰记载，现场查看车间各岗位工作人员。</w:t>
            </w:r>
          </w:p>
          <w:p>
            <w:pPr>
              <w:ind w:firstLine="420" w:firstLineChars="200"/>
              <w:jc w:val="left"/>
              <w:rPr>
                <w:rFonts w:hint="eastAsia" w:ascii="Times New Roman" w:hAnsi="Times New Roman" w:cs="宋体"/>
                <w:lang w:val="en-US" w:eastAsia="zh-CN"/>
              </w:rPr>
            </w:pPr>
            <w:r>
              <w:rPr>
                <w:rFonts w:hint="eastAsia" w:ascii="等线" w:hAnsi="等线" w:eastAsia="等线" w:cs="等线"/>
                <w:lang w:val="en-US" w:eastAsia="zh-CN"/>
              </w:rPr>
              <w:t>其它环境策划和管控记录见各部门E8.1。</w:t>
            </w:r>
          </w:p>
        </w:tc>
        <w:tc>
          <w:tcPr>
            <w:tcW w:w="1585" w:type="dxa"/>
          </w:tcPr>
          <w:p>
            <w:pPr>
              <w:rPr>
                <w:rFonts w:hint="eastAsia" w:ascii="Times New Roman" w:hAnsi="Times New Roman"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160" w:type="dxa"/>
            <w:vAlign w:val="center"/>
          </w:tcPr>
          <w:p>
            <w:pPr>
              <w:rPr>
                <w:rFonts w:hint="eastAsia" w:ascii="Times New Roman" w:hAnsi="Times New Roman" w:cs="宋体"/>
                <w:lang w:val="en-US" w:eastAsia="zh-CN"/>
              </w:rPr>
            </w:pPr>
            <w:r>
              <w:rPr>
                <w:rFonts w:hint="eastAsia" w:ascii="Times New Roman" w:hAnsi="Times New Roman" w:cs="宋体"/>
              </w:rPr>
              <w:t>应急准备和响应</w:t>
            </w:r>
          </w:p>
        </w:tc>
        <w:tc>
          <w:tcPr>
            <w:tcW w:w="960" w:type="dxa"/>
            <w:vAlign w:val="center"/>
          </w:tcPr>
          <w:p>
            <w:pPr>
              <w:rPr>
                <w:rFonts w:hint="default" w:ascii="Times New Roman" w:hAnsi="Times New Roman" w:cs="宋体"/>
                <w:lang w:val="en-US" w:eastAsia="zh-CN"/>
              </w:rPr>
            </w:pPr>
            <w:r>
              <w:rPr>
                <w:rFonts w:hint="eastAsia" w:cs="宋体"/>
                <w:lang w:val="en-US" w:eastAsia="zh-CN"/>
              </w:rPr>
              <w:t>E</w:t>
            </w:r>
            <w:r>
              <w:rPr>
                <w:rFonts w:hint="eastAsia" w:ascii="Times New Roman" w:hAnsi="Times New Roman" w:cs="宋体"/>
              </w:rPr>
              <w:t>8.2</w:t>
            </w:r>
          </w:p>
        </w:tc>
        <w:tc>
          <w:tcPr>
            <w:tcW w:w="10004" w:type="dxa"/>
            <w:vAlign w:val="center"/>
          </w:tcPr>
          <w:p>
            <w:pPr>
              <w:rPr>
                <w:rFonts w:hint="eastAsia" w:ascii="Times New Roman" w:hAnsi="Times New Roman" w:cs="宋体"/>
                <w:lang w:val="en-US" w:eastAsia="zh-CN"/>
              </w:rPr>
            </w:pPr>
            <w:r>
              <w:rPr>
                <w:rFonts w:hint="eastAsia" w:ascii="Times New Roman" w:hAnsi="Times New Roman" w:cs="宋体"/>
              </w:rPr>
              <w:t>执行《应急准备与响应控制程序》。20</w:t>
            </w:r>
            <w:r>
              <w:rPr>
                <w:rFonts w:hint="eastAsia" w:ascii="Times New Roman" w:hAnsi="Times New Roman" w:cs="宋体"/>
                <w:lang w:val="en-US" w:eastAsia="zh-CN"/>
              </w:rPr>
              <w:t>21</w:t>
            </w:r>
            <w:r>
              <w:rPr>
                <w:rFonts w:hint="eastAsia" w:ascii="Times New Roman" w:hAnsi="Times New Roman" w:cs="宋体"/>
              </w:rPr>
              <w:t>年</w:t>
            </w:r>
            <w:r>
              <w:rPr>
                <w:rFonts w:hint="eastAsia" w:ascii="Times New Roman" w:hAnsi="Times New Roman" w:cs="宋体"/>
                <w:lang w:val="en-US" w:eastAsia="zh-CN"/>
              </w:rPr>
              <w:t>1</w:t>
            </w:r>
            <w:r>
              <w:rPr>
                <w:rFonts w:hint="eastAsia" w:cs="宋体"/>
                <w:lang w:val="en-US" w:eastAsia="zh-CN"/>
              </w:rPr>
              <w:t>0</w:t>
            </w:r>
            <w:r>
              <w:rPr>
                <w:rFonts w:hint="eastAsia" w:ascii="Times New Roman" w:hAnsi="Times New Roman" w:cs="宋体"/>
              </w:rPr>
              <w:t>月</w:t>
            </w:r>
            <w:r>
              <w:rPr>
                <w:rFonts w:hint="eastAsia" w:ascii="Times New Roman" w:hAnsi="Times New Roman" w:cs="宋体"/>
                <w:lang w:val="en-US" w:eastAsia="zh-CN"/>
              </w:rPr>
              <w:t>1</w:t>
            </w:r>
            <w:r>
              <w:rPr>
                <w:rFonts w:hint="eastAsia" w:cs="宋体"/>
                <w:lang w:val="en-US" w:eastAsia="zh-CN"/>
              </w:rPr>
              <w:t>2</w:t>
            </w:r>
            <w:r>
              <w:rPr>
                <w:rFonts w:hint="eastAsia" w:ascii="Times New Roman" w:hAnsi="Times New Roman" w:cs="宋体"/>
              </w:rPr>
              <w:t>日，质检部参加了公司组织消防演练，相关记录详见办公室记录。</w:t>
            </w:r>
          </w:p>
        </w:tc>
        <w:tc>
          <w:tcPr>
            <w:tcW w:w="1585" w:type="dxa"/>
          </w:tcPr>
          <w:p>
            <w:pPr>
              <w:rPr>
                <w:rFonts w:hint="eastAsia" w:ascii="Times New Roman" w:hAnsi="Times New Roman" w:cs="宋体"/>
              </w:rPr>
            </w:pPr>
          </w:p>
        </w:tc>
      </w:tr>
    </w:tbl>
    <w:p>
      <w:pPr>
        <w:pStyle w:val="5"/>
      </w:pPr>
    </w:p>
    <w:p>
      <w:pPr>
        <w:pStyle w:val="5"/>
      </w:pPr>
    </w:p>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8990B"/>
    <w:multiLevelType w:val="singleLevel"/>
    <w:tmpl w:val="D628990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73B4"/>
    <w:rsid w:val="00000781"/>
    <w:rsid w:val="00001CBA"/>
    <w:rsid w:val="00002835"/>
    <w:rsid w:val="0001367D"/>
    <w:rsid w:val="000143DA"/>
    <w:rsid w:val="00020ED0"/>
    <w:rsid w:val="000237F6"/>
    <w:rsid w:val="00023EA8"/>
    <w:rsid w:val="000305BF"/>
    <w:rsid w:val="0003373A"/>
    <w:rsid w:val="000345B1"/>
    <w:rsid w:val="000400E2"/>
    <w:rsid w:val="00041774"/>
    <w:rsid w:val="000463B7"/>
    <w:rsid w:val="000578DA"/>
    <w:rsid w:val="00062426"/>
    <w:rsid w:val="00062999"/>
    <w:rsid w:val="00062E46"/>
    <w:rsid w:val="00066F4D"/>
    <w:rsid w:val="00076D76"/>
    <w:rsid w:val="00080F7D"/>
    <w:rsid w:val="00082D89"/>
    <w:rsid w:val="0008596C"/>
    <w:rsid w:val="00091FE9"/>
    <w:rsid w:val="00095D51"/>
    <w:rsid w:val="000960B0"/>
    <w:rsid w:val="000A2EFC"/>
    <w:rsid w:val="000A7732"/>
    <w:rsid w:val="000B5746"/>
    <w:rsid w:val="000C16F5"/>
    <w:rsid w:val="000C71B1"/>
    <w:rsid w:val="000D1B2E"/>
    <w:rsid w:val="000E006C"/>
    <w:rsid w:val="000E2166"/>
    <w:rsid w:val="000E361C"/>
    <w:rsid w:val="000E6203"/>
    <w:rsid w:val="000F23CD"/>
    <w:rsid w:val="000F2406"/>
    <w:rsid w:val="000F7A15"/>
    <w:rsid w:val="000F7F73"/>
    <w:rsid w:val="001056C0"/>
    <w:rsid w:val="00105973"/>
    <w:rsid w:val="00106BA8"/>
    <w:rsid w:val="00107641"/>
    <w:rsid w:val="001119E9"/>
    <w:rsid w:val="00112BB2"/>
    <w:rsid w:val="0011314F"/>
    <w:rsid w:val="001164DE"/>
    <w:rsid w:val="001170EC"/>
    <w:rsid w:val="00126230"/>
    <w:rsid w:val="00126A0B"/>
    <w:rsid w:val="00126E74"/>
    <w:rsid w:val="00127915"/>
    <w:rsid w:val="001363FE"/>
    <w:rsid w:val="001434B8"/>
    <w:rsid w:val="00156D3A"/>
    <w:rsid w:val="00163DB9"/>
    <w:rsid w:val="0017278C"/>
    <w:rsid w:val="001751C1"/>
    <w:rsid w:val="001800CC"/>
    <w:rsid w:val="0018137F"/>
    <w:rsid w:val="00187D74"/>
    <w:rsid w:val="00192560"/>
    <w:rsid w:val="00193E89"/>
    <w:rsid w:val="0019692D"/>
    <w:rsid w:val="001A08E7"/>
    <w:rsid w:val="001A0A43"/>
    <w:rsid w:val="001A2D7F"/>
    <w:rsid w:val="001A6746"/>
    <w:rsid w:val="001B6E4F"/>
    <w:rsid w:val="001B7223"/>
    <w:rsid w:val="001C064C"/>
    <w:rsid w:val="001C3C83"/>
    <w:rsid w:val="001C5477"/>
    <w:rsid w:val="001D03C6"/>
    <w:rsid w:val="001D6E67"/>
    <w:rsid w:val="001E2B4A"/>
    <w:rsid w:val="001E5BA4"/>
    <w:rsid w:val="001F1B3C"/>
    <w:rsid w:val="001F1EB8"/>
    <w:rsid w:val="001F5838"/>
    <w:rsid w:val="001F6E94"/>
    <w:rsid w:val="00202B24"/>
    <w:rsid w:val="00205C72"/>
    <w:rsid w:val="00206F14"/>
    <w:rsid w:val="00210D18"/>
    <w:rsid w:val="00213928"/>
    <w:rsid w:val="00217506"/>
    <w:rsid w:val="00223E87"/>
    <w:rsid w:val="002336E2"/>
    <w:rsid w:val="00233743"/>
    <w:rsid w:val="002343D3"/>
    <w:rsid w:val="00237193"/>
    <w:rsid w:val="002377AE"/>
    <w:rsid w:val="00245CC2"/>
    <w:rsid w:val="002505F5"/>
    <w:rsid w:val="00251AB2"/>
    <w:rsid w:val="00255E25"/>
    <w:rsid w:val="002602AE"/>
    <w:rsid w:val="002621EE"/>
    <w:rsid w:val="00262316"/>
    <w:rsid w:val="00267B77"/>
    <w:rsid w:val="002804DA"/>
    <w:rsid w:val="00283698"/>
    <w:rsid w:val="0029245E"/>
    <w:rsid w:val="00292BE4"/>
    <w:rsid w:val="002939AD"/>
    <w:rsid w:val="00295971"/>
    <w:rsid w:val="002A12FF"/>
    <w:rsid w:val="002A227C"/>
    <w:rsid w:val="002A3899"/>
    <w:rsid w:val="002A4DC2"/>
    <w:rsid w:val="002A7BFD"/>
    <w:rsid w:val="002C15D2"/>
    <w:rsid w:val="002C1BA9"/>
    <w:rsid w:val="002C2F6A"/>
    <w:rsid w:val="002E62BC"/>
    <w:rsid w:val="002F0A95"/>
    <w:rsid w:val="002F2F4D"/>
    <w:rsid w:val="002F7EC6"/>
    <w:rsid w:val="00300AA9"/>
    <w:rsid w:val="00311BCB"/>
    <w:rsid w:val="003151F3"/>
    <w:rsid w:val="0032236B"/>
    <w:rsid w:val="003303AB"/>
    <w:rsid w:val="0033511B"/>
    <w:rsid w:val="00337922"/>
    <w:rsid w:val="00340867"/>
    <w:rsid w:val="003422FC"/>
    <w:rsid w:val="00342D40"/>
    <w:rsid w:val="00345151"/>
    <w:rsid w:val="00351067"/>
    <w:rsid w:val="00352626"/>
    <w:rsid w:val="00360E9B"/>
    <w:rsid w:val="003654C8"/>
    <w:rsid w:val="00370E61"/>
    <w:rsid w:val="00373185"/>
    <w:rsid w:val="00373A04"/>
    <w:rsid w:val="003758C5"/>
    <w:rsid w:val="00380837"/>
    <w:rsid w:val="00381ADC"/>
    <w:rsid w:val="00384BFE"/>
    <w:rsid w:val="003A198A"/>
    <w:rsid w:val="003B00AF"/>
    <w:rsid w:val="003D03E2"/>
    <w:rsid w:val="003D0A51"/>
    <w:rsid w:val="004040D5"/>
    <w:rsid w:val="00410914"/>
    <w:rsid w:val="00414654"/>
    <w:rsid w:val="004146E6"/>
    <w:rsid w:val="0041622A"/>
    <w:rsid w:val="004227EE"/>
    <w:rsid w:val="0042282D"/>
    <w:rsid w:val="00446D85"/>
    <w:rsid w:val="0045072A"/>
    <w:rsid w:val="00453035"/>
    <w:rsid w:val="004543CA"/>
    <w:rsid w:val="00455E7F"/>
    <w:rsid w:val="0046427D"/>
    <w:rsid w:val="00466990"/>
    <w:rsid w:val="00466B7A"/>
    <w:rsid w:val="00483295"/>
    <w:rsid w:val="00486BA3"/>
    <w:rsid w:val="00490FDD"/>
    <w:rsid w:val="00493ADB"/>
    <w:rsid w:val="0049563C"/>
    <w:rsid w:val="004A3BA4"/>
    <w:rsid w:val="004A470D"/>
    <w:rsid w:val="004B06F1"/>
    <w:rsid w:val="004B0A35"/>
    <w:rsid w:val="004B23B6"/>
    <w:rsid w:val="004B3F4B"/>
    <w:rsid w:val="004B5A44"/>
    <w:rsid w:val="004B7712"/>
    <w:rsid w:val="004C2190"/>
    <w:rsid w:val="004D0D03"/>
    <w:rsid w:val="004D7A49"/>
    <w:rsid w:val="004E465C"/>
    <w:rsid w:val="004E5D36"/>
    <w:rsid w:val="004F040C"/>
    <w:rsid w:val="004F1BBF"/>
    <w:rsid w:val="004F373D"/>
    <w:rsid w:val="004F65F8"/>
    <w:rsid w:val="004F6A1A"/>
    <w:rsid w:val="00502C74"/>
    <w:rsid w:val="005069D0"/>
    <w:rsid w:val="0050793A"/>
    <w:rsid w:val="00510ADE"/>
    <w:rsid w:val="00517A4C"/>
    <w:rsid w:val="00536930"/>
    <w:rsid w:val="00544183"/>
    <w:rsid w:val="00551462"/>
    <w:rsid w:val="005537CE"/>
    <w:rsid w:val="00556D72"/>
    <w:rsid w:val="00563167"/>
    <w:rsid w:val="00564E53"/>
    <w:rsid w:val="005729EA"/>
    <w:rsid w:val="00573551"/>
    <w:rsid w:val="005779D2"/>
    <w:rsid w:val="005900C0"/>
    <w:rsid w:val="005A728D"/>
    <w:rsid w:val="005B7E20"/>
    <w:rsid w:val="005C1653"/>
    <w:rsid w:val="005D5659"/>
    <w:rsid w:val="005D6648"/>
    <w:rsid w:val="005E61FA"/>
    <w:rsid w:val="005E6BA8"/>
    <w:rsid w:val="005E6E51"/>
    <w:rsid w:val="005F175F"/>
    <w:rsid w:val="00600C20"/>
    <w:rsid w:val="006106AE"/>
    <w:rsid w:val="00614476"/>
    <w:rsid w:val="00615D92"/>
    <w:rsid w:val="006224C7"/>
    <w:rsid w:val="0062719B"/>
    <w:rsid w:val="00627DC5"/>
    <w:rsid w:val="00630E4B"/>
    <w:rsid w:val="0063181A"/>
    <w:rsid w:val="0063243D"/>
    <w:rsid w:val="006324DD"/>
    <w:rsid w:val="00633430"/>
    <w:rsid w:val="00642982"/>
    <w:rsid w:val="0064309F"/>
    <w:rsid w:val="00644FE2"/>
    <w:rsid w:val="00650EC4"/>
    <w:rsid w:val="006530C4"/>
    <w:rsid w:val="00654D32"/>
    <w:rsid w:val="00664997"/>
    <w:rsid w:val="00670863"/>
    <w:rsid w:val="00674D5F"/>
    <w:rsid w:val="0067599F"/>
    <w:rsid w:val="00675E3E"/>
    <w:rsid w:val="0067640C"/>
    <w:rsid w:val="00680907"/>
    <w:rsid w:val="00686666"/>
    <w:rsid w:val="006946FA"/>
    <w:rsid w:val="00697963"/>
    <w:rsid w:val="006A7D53"/>
    <w:rsid w:val="006B0CF3"/>
    <w:rsid w:val="006B15B7"/>
    <w:rsid w:val="006B204D"/>
    <w:rsid w:val="006B6803"/>
    <w:rsid w:val="006B6A3A"/>
    <w:rsid w:val="006C1B3B"/>
    <w:rsid w:val="006C38C7"/>
    <w:rsid w:val="006D0C09"/>
    <w:rsid w:val="006D76D3"/>
    <w:rsid w:val="006D783D"/>
    <w:rsid w:val="006E1A7B"/>
    <w:rsid w:val="006E2294"/>
    <w:rsid w:val="006E678B"/>
    <w:rsid w:val="006E7037"/>
    <w:rsid w:val="006F0750"/>
    <w:rsid w:val="006F2D1D"/>
    <w:rsid w:val="006F3892"/>
    <w:rsid w:val="006F38C7"/>
    <w:rsid w:val="006F5AC4"/>
    <w:rsid w:val="006F6092"/>
    <w:rsid w:val="006F650A"/>
    <w:rsid w:val="006F7E0A"/>
    <w:rsid w:val="00702721"/>
    <w:rsid w:val="00703EF3"/>
    <w:rsid w:val="0070714C"/>
    <w:rsid w:val="00707397"/>
    <w:rsid w:val="00710474"/>
    <w:rsid w:val="00712BAF"/>
    <w:rsid w:val="00713473"/>
    <w:rsid w:val="0071666E"/>
    <w:rsid w:val="00720184"/>
    <w:rsid w:val="007211F8"/>
    <w:rsid w:val="00724327"/>
    <w:rsid w:val="00727062"/>
    <w:rsid w:val="00730627"/>
    <w:rsid w:val="007309AC"/>
    <w:rsid w:val="00732659"/>
    <w:rsid w:val="00732D60"/>
    <w:rsid w:val="00734A65"/>
    <w:rsid w:val="007370B1"/>
    <w:rsid w:val="007375DF"/>
    <w:rsid w:val="00740EA3"/>
    <w:rsid w:val="00742D1F"/>
    <w:rsid w:val="00744775"/>
    <w:rsid w:val="007459BB"/>
    <w:rsid w:val="007510F7"/>
    <w:rsid w:val="0075296C"/>
    <w:rsid w:val="007542AA"/>
    <w:rsid w:val="00754701"/>
    <w:rsid w:val="00762F9A"/>
    <w:rsid w:val="00765D1B"/>
    <w:rsid w:val="007757F3"/>
    <w:rsid w:val="00776E9D"/>
    <w:rsid w:val="00777665"/>
    <w:rsid w:val="00791AA1"/>
    <w:rsid w:val="007934FE"/>
    <w:rsid w:val="007B2935"/>
    <w:rsid w:val="007B3D48"/>
    <w:rsid w:val="007B501E"/>
    <w:rsid w:val="007B6021"/>
    <w:rsid w:val="007C0D85"/>
    <w:rsid w:val="007C1CD9"/>
    <w:rsid w:val="007C51E8"/>
    <w:rsid w:val="007C5A12"/>
    <w:rsid w:val="007C6AF2"/>
    <w:rsid w:val="007C7E79"/>
    <w:rsid w:val="007D2BC7"/>
    <w:rsid w:val="007D7AF3"/>
    <w:rsid w:val="007D7F7B"/>
    <w:rsid w:val="007E525D"/>
    <w:rsid w:val="007E6AEB"/>
    <w:rsid w:val="007F58FA"/>
    <w:rsid w:val="00802AB8"/>
    <w:rsid w:val="00807913"/>
    <w:rsid w:val="00807D65"/>
    <w:rsid w:val="00814E2E"/>
    <w:rsid w:val="0082047A"/>
    <w:rsid w:val="008255F4"/>
    <w:rsid w:val="008301DD"/>
    <w:rsid w:val="00832A88"/>
    <w:rsid w:val="0084425B"/>
    <w:rsid w:val="0084766F"/>
    <w:rsid w:val="00857EBF"/>
    <w:rsid w:val="008645E4"/>
    <w:rsid w:val="008723E1"/>
    <w:rsid w:val="00873577"/>
    <w:rsid w:val="00884EA4"/>
    <w:rsid w:val="008903EE"/>
    <w:rsid w:val="008973EE"/>
    <w:rsid w:val="008A5761"/>
    <w:rsid w:val="008A6DB0"/>
    <w:rsid w:val="008A7193"/>
    <w:rsid w:val="008B0BEC"/>
    <w:rsid w:val="008C0F60"/>
    <w:rsid w:val="008C396C"/>
    <w:rsid w:val="008C4700"/>
    <w:rsid w:val="008D12D9"/>
    <w:rsid w:val="008D390D"/>
    <w:rsid w:val="008D54A2"/>
    <w:rsid w:val="008D54A7"/>
    <w:rsid w:val="008D7FA8"/>
    <w:rsid w:val="008E232E"/>
    <w:rsid w:val="008E6A38"/>
    <w:rsid w:val="009044A0"/>
    <w:rsid w:val="00911C77"/>
    <w:rsid w:val="009141E6"/>
    <w:rsid w:val="00915831"/>
    <w:rsid w:val="0091589D"/>
    <w:rsid w:val="009203B0"/>
    <w:rsid w:val="0092793F"/>
    <w:rsid w:val="00934BD5"/>
    <w:rsid w:val="00936395"/>
    <w:rsid w:val="00937B04"/>
    <w:rsid w:val="009436EE"/>
    <w:rsid w:val="00952CA8"/>
    <w:rsid w:val="00953BA6"/>
    <w:rsid w:val="00964D2F"/>
    <w:rsid w:val="00971600"/>
    <w:rsid w:val="00972732"/>
    <w:rsid w:val="0097502C"/>
    <w:rsid w:val="00980567"/>
    <w:rsid w:val="00981054"/>
    <w:rsid w:val="0098360B"/>
    <w:rsid w:val="00984AD2"/>
    <w:rsid w:val="0098501A"/>
    <w:rsid w:val="00991374"/>
    <w:rsid w:val="009919FA"/>
    <w:rsid w:val="009933CB"/>
    <w:rsid w:val="009938D0"/>
    <w:rsid w:val="009973B4"/>
    <w:rsid w:val="0099778B"/>
    <w:rsid w:val="00997D3B"/>
    <w:rsid w:val="009A1388"/>
    <w:rsid w:val="009A2A76"/>
    <w:rsid w:val="009A6DAC"/>
    <w:rsid w:val="009B12DF"/>
    <w:rsid w:val="009B2BC9"/>
    <w:rsid w:val="009C10B3"/>
    <w:rsid w:val="009C28C1"/>
    <w:rsid w:val="009C3C32"/>
    <w:rsid w:val="009C3F78"/>
    <w:rsid w:val="009C63C0"/>
    <w:rsid w:val="009D3C30"/>
    <w:rsid w:val="009E1E74"/>
    <w:rsid w:val="009E711B"/>
    <w:rsid w:val="009E7DAB"/>
    <w:rsid w:val="009F4F7A"/>
    <w:rsid w:val="009F65F2"/>
    <w:rsid w:val="009F7EED"/>
    <w:rsid w:val="00A00A1B"/>
    <w:rsid w:val="00A02776"/>
    <w:rsid w:val="00A045AD"/>
    <w:rsid w:val="00A06B44"/>
    <w:rsid w:val="00A23456"/>
    <w:rsid w:val="00A26D2E"/>
    <w:rsid w:val="00A36E63"/>
    <w:rsid w:val="00A4388C"/>
    <w:rsid w:val="00A5297F"/>
    <w:rsid w:val="00A66A41"/>
    <w:rsid w:val="00A7744D"/>
    <w:rsid w:val="00A80636"/>
    <w:rsid w:val="00A81821"/>
    <w:rsid w:val="00A90B79"/>
    <w:rsid w:val="00A913C4"/>
    <w:rsid w:val="00A928C2"/>
    <w:rsid w:val="00A97E4A"/>
    <w:rsid w:val="00AA1D76"/>
    <w:rsid w:val="00AC1BC1"/>
    <w:rsid w:val="00AC4949"/>
    <w:rsid w:val="00AC68C7"/>
    <w:rsid w:val="00AD034E"/>
    <w:rsid w:val="00AD0EC4"/>
    <w:rsid w:val="00AD6100"/>
    <w:rsid w:val="00AE666F"/>
    <w:rsid w:val="00AF0AAB"/>
    <w:rsid w:val="00AF14C1"/>
    <w:rsid w:val="00AF2A02"/>
    <w:rsid w:val="00AF70D0"/>
    <w:rsid w:val="00B03F55"/>
    <w:rsid w:val="00B10599"/>
    <w:rsid w:val="00B16E75"/>
    <w:rsid w:val="00B172A3"/>
    <w:rsid w:val="00B23912"/>
    <w:rsid w:val="00B332F3"/>
    <w:rsid w:val="00B34C96"/>
    <w:rsid w:val="00B3717F"/>
    <w:rsid w:val="00B420B0"/>
    <w:rsid w:val="00B52A1C"/>
    <w:rsid w:val="00B562AC"/>
    <w:rsid w:val="00B60BA1"/>
    <w:rsid w:val="00B65738"/>
    <w:rsid w:val="00B676FA"/>
    <w:rsid w:val="00B83A80"/>
    <w:rsid w:val="00B85050"/>
    <w:rsid w:val="00B925D6"/>
    <w:rsid w:val="00B95915"/>
    <w:rsid w:val="00B964C9"/>
    <w:rsid w:val="00BA051C"/>
    <w:rsid w:val="00BB0556"/>
    <w:rsid w:val="00BB0C7F"/>
    <w:rsid w:val="00BB1D4F"/>
    <w:rsid w:val="00BB244F"/>
    <w:rsid w:val="00BB68FA"/>
    <w:rsid w:val="00BC03DB"/>
    <w:rsid w:val="00BC69E6"/>
    <w:rsid w:val="00BD294A"/>
    <w:rsid w:val="00BD6339"/>
    <w:rsid w:val="00BE0AE6"/>
    <w:rsid w:val="00BE18D2"/>
    <w:rsid w:val="00BF597E"/>
    <w:rsid w:val="00C02664"/>
    <w:rsid w:val="00C04312"/>
    <w:rsid w:val="00C169E4"/>
    <w:rsid w:val="00C30C1C"/>
    <w:rsid w:val="00C33EE7"/>
    <w:rsid w:val="00C377F9"/>
    <w:rsid w:val="00C42C3F"/>
    <w:rsid w:val="00C4788E"/>
    <w:rsid w:val="00C51A36"/>
    <w:rsid w:val="00C5226A"/>
    <w:rsid w:val="00C55228"/>
    <w:rsid w:val="00C578D1"/>
    <w:rsid w:val="00C6092A"/>
    <w:rsid w:val="00C6471E"/>
    <w:rsid w:val="00C6635F"/>
    <w:rsid w:val="00C66D94"/>
    <w:rsid w:val="00C90E8D"/>
    <w:rsid w:val="00C95BAB"/>
    <w:rsid w:val="00CA01C2"/>
    <w:rsid w:val="00CB31DF"/>
    <w:rsid w:val="00CB7CE8"/>
    <w:rsid w:val="00CC47D4"/>
    <w:rsid w:val="00CD1E1F"/>
    <w:rsid w:val="00CE0426"/>
    <w:rsid w:val="00CE315A"/>
    <w:rsid w:val="00CE4603"/>
    <w:rsid w:val="00CE5534"/>
    <w:rsid w:val="00CE5C53"/>
    <w:rsid w:val="00CE5F0F"/>
    <w:rsid w:val="00CF16D5"/>
    <w:rsid w:val="00CF78B8"/>
    <w:rsid w:val="00D04A86"/>
    <w:rsid w:val="00D06F59"/>
    <w:rsid w:val="00D2329B"/>
    <w:rsid w:val="00D341BF"/>
    <w:rsid w:val="00D4158E"/>
    <w:rsid w:val="00D41EC0"/>
    <w:rsid w:val="00D6218E"/>
    <w:rsid w:val="00D629BD"/>
    <w:rsid w:val="00D63628"/>
    <w:rsid w:val="00D677DD"/>
    <w:rsid w:val="00D70902"/>
    <w:rsid w:val="00D72461"/>
    <w:rsid w:val="00D7365D"/>
    <w:rsid w:val="00D80790"/>
    <w:rsid w:val="00D8388C"/>
    <w:rsid w:val="00D84D27"/>
    <w:rsid w:val="00D9269F"/>
    <w:rsid w:val="00D93FE1"/>
    <w:rsid w:val="00D941D5"/>
    <w:rsid w:val="00DA10EE"/>
    <w:rsid w:val="00DA2E0E"/>
    <w:rsid w:val="00DA557A"/>
    <w:rsid w:val="00DB775E"/>
    <w:rsid w:val="00DC07AC"/>
    <w:rsid w:val="00DC541B"/>
    <w:rsid w:val="00DC6C6C"/>
    <w:rsid w:val="00DD24C5"/>
    <w:rsid w:val="00DE2E42"/>
    <w:rsid w:val="00DF66F8"/>
    <w:rsid w:val="00E07EAB"/>
    <w:rsid w:val="00E16C9D"/>
    <w:rsid w:val="00E43ADA"/>
    <w:rsid w:val="00E460D7"/>
    <w:rsid w:val="00E53A07"/>
    <w:rsid w:val="00E5543E"/>
    <w:rsid w:val="00E57A69"/>
    <w:rsid w:val="00E60237"/>
    <w:rsid w:val="00E6224C"/>
    <w:rsid w:val="00E625F5"/>
    <w:rsid w:val="00E72BB7"/>
    <w:rsid w:val="00E731AD"/>
    <w:rsid w:val="00E816C9"/>
    <w:rsid w:val="00E865B7"/>
    <w:rsid w:val="00E87B4D"/>
    <w:rsid w:val="00E87E1D"/>
    <w:rsid w:val="00E92BA2"/>
    <w:rsid w:val="00E94492"/>
    <w:rsid w:val="00E9595C"/>
    <w:rsid w:val="00E95F99"/>
    <w:rsid w:val="00EA5E3D"/>
    <w:rsid w:val="00EA7FA1"/>
    <w:rsid w:val="00EB0164"/>
    <w:rsid w:val="00EC0A07"/>
    <w:rsid w:val="00EC49AA"/>
    <w:rsid w:val="00EC4DB3"/>
    <w:rsid w:val="00EC4FFF"/>
    <w:rsid w:val="00ED0F62"/>
    <w:rsid w:val="00ED347E"/>
    <w:rsid w:val="00ED6489"/>
    <w:rsid w:val="00EF6EAF"/>
    <w:rsid w:val="00EF7895"/>
    <w:rsid w:val="00F02C73"/>
    <w:rsid w:val="00F071F8"/>
    <w:rsid w:val="00F13124"/>
    <w:rsid w:val="00F151A1"/>
    <w:rsid w:val="00F15EDA"/>
    <w:rsid w:val="00F22094"/>
    <w:rsid w:val="00F25B7A"/>
    <w:rsid w:val="00F40E85"/>
    <w:rsid w:val="00F417D8"/>
    <w:rsid w:val="00F45327"/>
    <w:rsid w:val="00F4627E"/>
    <w:rsid w:val="00F50AC6"/>
    <w:rsid w:val="00F5625D"/>
    <w:rsid w:val="00F602FA"/>
    <w:rsid w:val="00F74E05"/>
    <w:rsid w:val="00F770C8"/>
    <w:rsid w:val="00F77C3D"/>
    <w:rsid w:val="00F77E70"/>
    <w:rsid w:val="00F81037"/>
    <w:rsid w:val="00FA49DF"/>
    <w:rsid w:val="00FA4AB6"/>
    <w:rsid w:val="00FA564E"/>
    <w:rsid w:val="00FB1A9D"/>
    <w:rsid w:val="00FB1DE9"/>
    <w:rsid w:val="00FB6EE1"/>
    <w:rsid w:val="00FC00BC"/>
    <w:rsid w:val="00FC14A8"/>
    <w:rsid w:val="00FC4409"/>
    <w:rsid w:val="00FC4782"/>
    <w:rsid w:val="00FD788F"/>
    <w:rsid w:val="00FE4FEF"/>
    <w:rsid w:val="00FF5C26"/>
    <w:rsid w:val="019B6EB2"/>
    <w:rsid w:val="01C62C9D"/>
    <w:rsid w:val="03A405DC"/>
    <w:rsid w:val="056A1970"/>
    <w:rsid w:val="0645735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4A039B"/>
    <w:rsid w:val="29A85F35"/>
    <w:rsid w:val="29C6711B"/>
    <w:rsid w:val="2F1934D2"/>
    <w:rsid w:val="2F4E6D9C"/>
    <w:rsid w:val="2FBE513D"/>
    <w:rsid w:val="3207117D"/>
    <w:rsid w:val="3AF759E0"/>
    <w:rsid w:val="3C86453F"/>
    <w:rsid w:val="3CB267D0"/>
    <w:rsid w:val="3D281C23"/>
    <w:rsid w:val="3DC542F9"/>
    <w:rsid w:val="3FA33F17"/>
    <w:rsid w:val="412B631E"/>
    <w:rsid w:val="43E420EE"/>
    <w:rsid w:val="45A41779"/>
    <w:rsid w:val="48B2529B"/>
    <w:rsid w:val="4A7A6462"/>
    <w:rsid w:val="4A8171B5"/>
    <w:rsid w:val="4D7900FD"/>
    <w:rsid w:val="523336FD"/>
    <w:rsid w:val="53A67598"/>
    <w:rsid w:val="568B2D39"/>
    <w:rsid w:val="5E40339C"/>
    <w:rsid w:val="5EA12B9A"/>
    <w:rsid w:val="5EB86F9E"/>
    <w:rsid w:val="60411CBE"/>
    <w:rsid w:val="605B6DC2"/>
    <w:rsid w:val="6671625F"/>
    <w:rsid w:val="667326C0"/>
    <w:rsid w:val="674C0DB9"/>
    <w:rsid w:val="68BD52BB"/>
    <w:rsid w:val="6B3432D4"/>
    <w:rsid w:val="6B983632"/>
    <w:rsid w:val="6DD76C53"/>
    <w:rsid w:val="6DFA0E9A"/>
    <w:rsid w:val="6E4545D9"/>
    <w:rsid w:val="77494BFA"/>
    <w:rsid w:val="7C14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sz w:val="24"/>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ind w:firstLine="360"/>
      <w:jc w:val="both"/>
    </w:pPr>
    <w:rPr>
      <w:rFonts w:asciiTheme="minorHAnsi" w:hAnsiTheme="minorHAnsi" w:eastAsiaTheme="minorEastAsia" w:cstheme="minorBidi"/>
      <w:sz w:val="22"/>
      <w:szCs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Default"/>
    <w:link w:val="1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Default Char"/>
    <w:link w:val="1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0B336-AD21-48B8-90C9-186D8DB3A4FA}">
  <ds:schemaRefs/>
</ds:datastoreItem>
</file>

<file path=docProps/app.xml><?xml version="1.0" encoding="utf-8"?>
<Properties xmlns="http://schemas.openxmlformats.org/officeDocument/2006/extended-properties" xmlns:vt="http://schemas.openxmlformats.org/officeDocument/2006/docPropsVTypes">
  <Template>Normal</Template>
  <Pages>17</Pages>
  <Words>1754</Words>
  <Characters>10003</Characters>
  <Lines>83</Lines>
  <Paragraphs>23</Paragraphs>
  <TotalTime>1</TotalTime>
  <ScaleCrop>false</ScaleCrop>
  <LinksUpToDate>false</LinksUpToDate>
  <CharactersWithSpaces>11734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2022-01-11T01:40:23Z</dcterms:modified>
  <cp:revision>2064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CF3E41874B1A48F7B358365219057C93</vt:lpwstr>
  </property>
</Properties>
</file>