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10355-2023-EnMS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浙江泰鸿万立科技股份有限公司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9133100077936099XJ</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浙江泰鸿万立科技股份有限公司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浙江省台州市海丰路1178号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浙江省台州市海丰路1178号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EnMS:制动及离合器踏板总成、加速踏板及支架总成、车门限位器总成、驻车制动操纵杆总成、加油口盖、车门铰链的设计、生产及防撞梁、冲压件、焊接件的生产所涉及的能源管理活动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浙江泰鸿万立科技股份有限公司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浙江省台州市海丰路1178号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浙江省台州市海丰路1178号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EnMS:制动及离合器踏板总成、加速踏板及支架总成、车门限位器总成、驻车制动操纵杆总成、加油口盖、车门铰链的设计、生产及防撞梁、冲压件、焊接件的生产所涉及的能源管理活动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2371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