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宋雅兰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8.1、8.2，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宋雅兰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部门主要负责：原材料采购；与供方沟通，告知公司的环境和要求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负责制订采购计划，并督导具体的采购作业。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2021.10.11日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2.公司目前的主要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汽车零部件及配件制造（五大总成除外）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统一处理，部门不单独处理。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20.12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邢文涛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.公司目前采购的主要原材料有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各种圆钢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产品全部由厂家提供，均有合格证和使用说明以及检验报告。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提供了1家合格供应商名录，采购的材料有：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向供应商发放《相关方告之书》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告之书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的内容中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4个小时休息1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.对供应商施加影响还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邢文涛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2E53D92"/>
    <w:rsid w:val="133A0111"/>
    <w:rsid w:val="143A0727"/>
    <w:rsid w:val="15020645"/>
    <w:rsid w:val="20A56492"/>
    <w:rsid w:val="21495416"/>
    <w:rsid w:val="22747B71"/>
    <w:rsid w:val="33FB2662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2021-11-26T08:04:32Z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C0CA88B3DB184F829947EBD2E6FD33AE</vt:lpwstr>
  </property>
</Properties>
</file>