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南京佐景电子商务有限公司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24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DBS 32/003—2014 《食品安全地方标准 集体用餐配送膳食》、《中华人民共和国食品安全法》、GB 31654-2021 《食品安全国家标准 餐饮服务通用卫生规范》等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餐饮服务相关知识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D254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2021-11-29T08:47:41Z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