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0581-2020-EO-2021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重庆竹柳电力成套设备有限公司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重庆竹柳电力成套设备有限公司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重庆市九龙坡区华岩镇西山村4社</w:t>
            </w:r>
            <w:bookmarkEnd w:id="6"/>
          </w:p>
        </w:tc>
        <w:tc>
          <w:tcPr>
            <w:tcW w:w="1242" w:type="dxa"/>
            <w:vMerge w:val="restart"/>
            <w:vAlign w:val="center"/>
          </w:tcPr>
          <w:p>
            <w:r>
              <w:rPr>
                <w:rFonts w:hint="eastAsia"/>
              </w:rPr>
              <w:t>邮编</w:t>
            </w:r>
          </w:p>
        </w:tc>
        <w:tc>
          <w:tcPr>
            <w:tcW w:w="1771" w:type="dxa"/>
          </w:tcPr>
          <w:p>
            <w:bookmarkStart w:id="7" w:name="注册邮编"/>
            <w:r>
              <w:t>400052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重庆市大足区龙水镇新工业园区</w:t>
            </w:r>
            <w:bookmarkEnd w:id="8"/>
          </w:p>
        </w:tc>
        <w:tc>
          <w:tcPr>
            <w:tcW w:w="1242" w:type="dxa"/>
            <w:vMerge w:val="continue"/>
            <w:vAlign w:val="center"/>
          </w:tcPr>
          <w:p/>
        </w:tc>
        <w:tc>
          <w:tcPr>
            <w:tcW w:w="1771" w:type="dxa"/>
          </w:tcPr>
          <w:p>
            <w:bookmarkStart w:id="9" w:name="办公邮编"/>
            <w:r>
              <w:t>400052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谢瑞雪</w:t>
            </w:r>
            <w:bookmarkEnd w:id="10"/>
          </w:p>
        </w:tc>
        <w:tc>
          <w:tcPr>
            <w:tcW w:w="1313" w:type="dxa"/>
            <w:vAlign w:val="center"/>
          </w:tcPr>
          <w:p>
            <w:r>
              <w:rPr>
                <w:rFonts w:hint="eastAsia"/>
              </w:rPr>
              <w:t>电话.</w:t>
            </w:r>
          </w:p>
        </w:tc>
        <w:tc>
          <w:tcPr>
            <w:tcW w:w="2180" w:type="dxa"/>
            <w:vAlign w:val="center"/>
          </w:tcPr>
          <w:p>
            <w:bookmarkStart w:id="11" w:name="联系人电话"/>
            <w:r>
              <w:t>023-43303930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王芳</w:t>
            </w:r>
            <w:bookmarkEnd w:id="13"/>
          </w:p>
        </w:tc>
        <w:tc>
          <w:tcPr>
            <w:tcW w:w="1313" w:type="dxa"/>
            <w:vAlign w:val="center"/>
          </w:tcPr>
          <w:p>
            <w:r>
              <w:rPr>
                <w:rFonts w:hint="eastAsia"/>
              </w:rPr>
              <w:t>管理者代表</w:t>
            </w:r>
          </w:p>
        </w:tc>
        <w:tc>
          <w:tcPr>
            <w:tcW w:w="2180" w:type="dxa"/>
          </w:tcPr>
          <w:p>
            <w:bookmarkStart w:id="14" w:name="管理者代表"/>
            <w:r>
              <w:t>王军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ascii="宋体" w:hAnsi="宋体"/>
                <w:szCs w:val="21"/>
              </w:rPr>
            </w:pPr>
            <w:r>
              <w:rPr>
                <w:rFonts w:hint="eastAsia" w:ascii="宋体" w:hAnsi="宋体"/>
                <w:szCs w:val="21"/>
              </w:rPr>
              <w:t>销售流程：</w:t>
            </w:r>
          </w:p>
          <w:p>
            <w:pPr>
              <w:tabs>
                <w:tab w:val="left" w:pos="1080"/>
              </w:tabs>
              <w:spacing w:line="400" w:lineRule="exact"/>
              <w:rPr>
                <w:rFonts w:ascii="宋体" w:hAnsi="宋体"/>
                <w:szCs w:val="21"/>
              </w:rPr>
            </w:pPr>
            <w:r>
              <w:rPr>
                <w:rFonts w:hint="eastAsia" w:ascii="宋体" w:hAnsi="宋体"/>
                <w:szCs w:val="21"/>
              </w:rPr>
              <w:t>市场需求－－客户确认－－采购产品－－销售产品－－客户确认</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2021年11月26日 上午至2021年11月27日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ascii="宋体" w:hAnsi="宋体" w:eastAsia="宋体" w:cs="宋体"/>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E：电力铁附件、输电线路铁塔、电力金具、建筑钢结构制品的销售所涉及的相关环境管理活动。</w:t>
            </w:r>
          </w:p>
          <w:p>
            <w:r>
              <w:t>O：电力铁附件、输电线路铁塔、电力金具、建筑钢结构制品的销售所涉及的相关职业健康安全管理活动。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b/>
                <w:sz w:val="20"/>
              </w:rPr>
              <w:t>2020年7月10日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2020年11月01日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04</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17"/>
        <w:gridCol w:w="1954"/>
        <w:gridCol w:w="528"/>
        <w:gridCol w:w="2663"/>
        <w:gridCol w:w="16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17" w:type="dxa"/>
            <w:shd w:val="clear" w:color="auto" w:fill="F3F3F3"/>
            <w:tcMar>
              <w:left w:w="57" w:type="dxa"/>
              <w:right w:w="57" w:type="dxa"/>
            </w:tcMar>
          </w:tcPr>
          <w:p>
            <w:r>
              <w:rPr>
                <w:rFonts w:hint="eastAsia"/>
              </w:rPr>
              <w:t>组织名称及注册场所地址</w:t>
            </w:r>
          </w:p>
        </w:tc>
        <w:tc>
          <w:tcPr>
            <w:tcW w:w="1954" w:type="dxa"/>
            <w:shd w:val="clear" w:color="auto" w:fill="F3F3F3"/>
            <w:tcMar>
              <w:left w:w="57" w:type="dxa"/>
              <w:right w:w="57" w:type="dxa"/>
            </w:tcMar>
          </w:tcPr>
          <w:p>
            <w:r>
              <w:rPr>
                <w:rFonts w:hint="eastAsia"/>
              </w:rPr>
              <w:t>经营场所的地址</w:t>
            </w:r>
          </w:p>
          <w:p>
            <w:r>
              <w:rPr>
                <w:rFonts w:hint="eastAsia"/>
              </w:rPr>
              <w:t>（多现场和临时现场）</w:t>
            </w:r>
          </w:p>
        </w:tc>
        <w:tc>
          <w:tcPr>
            <w:tcW w:w="528" w:type="dxa"/>
            <w:shd w:val="clear" w:color="auto" w:fill="F3F3F3"/>
            <w:tcMar>
              <w:left w:w="57" w:type="dxa"/>
              <w:right w:w="57" w:type="dxa"/>
            </w:tcMar>
          </w:tcPr>
          <w:p>
            <w:r>
              <w:rPr>
                <w:rFonts w:hint="eastAsia"/>
              </w:rPr>
              <w:t>员工人数</w:t>
            </w:r>
          </w:p>
        </w:tc>
        <w:tc>
          <w:tcPr>
            <w:tcW w:w="2663" w:type="dxa"/>
            <w:shd w:val="clear" w:color="auto" w:fill="F3F3F3"/>
            <w:tcMar>
              <w:left w:w="57" w:type="dxa"/>
              <w:right w:w="57" w:type="dxa"/>
            </w:tcMar>
          </w:tcPr>
          <w:p>
            <w:r>
              <w:rPr>
                <w:rFonts w:hint="eastAsia"/>
              </w:rPr>
              <w:t>审核范围（产品和过程）</w:t>
            </w:r>
          </w:p>
          <w:p/>
          <w:p/>
        </w:tc>
        <w:tc>
          <w:tcPr>
            <w:tcW w:w="16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17" w:type="dxa"/>
          </w:tcPr>
          <w:p>
            <w:pPr>
              <w:rPr>
                <w:rFonts w:hint="eastAsia" w:eastAsia="宋体"/>
                <w:lang w:val="en-US" w:eastAsia="zh-CN"/>
              </w:rPr>
            </w:pPr>
            <w:r>
              <w:rPr>
                <w:sz w:val="21"/>
                <w:szCs w:val="21"/>
              </w:rPr>
              <w:t>重庆竹柳电力成套设备有限公司</w:t>
            </w:r>
            <w:r>
              <w:rPr>
                <w:rFonts w:hint="eastAsia"/>
                <w:sz w:val="21"/>
                <w:szCs w:val="21"/>
                <w:lang w:val="en-US" w:eastAsia="zh-CN"/>
              </w:rPr>
              <w:t>/</w:t>
            </w:r>
            <w:r>
              <w:rPr>
                <w:rFonts w:asciiTheme="minorEastAsia" w:hAnsiTheme="minorEastAsia" w:eastAsiaTheme="minorEastAsia"/>
                <w:sz w:val="20"/>
              </w:rPr>
              <w:t>重庆市九龙坡区华岩镇西山村4社</w:t>
            </w:r>
          </w:p>
        </w:tc>
        <w:tc>
          <w:tcPr>
            <w:tcW w:w="1954" w:type="dxa"/>
          </w:tcPr>
          <w:p>
            <w:pPr>
              <w:rPr>
                <w:lang w:val="de-DE" w:eastAsia="ja-JP"/>
              </w:rPr>
            </w:pPr>
            <w:r>
              <w:rPr>
                <w:rFonts w:asciiTheme="minorEastAsia" w:hAnsiTheme="minorEastAsia" w:eastAsiaTheme="minorEastAsia"/>
                <w:sz w:val="20"/>
              </w:rPr>
              <w:t>重庆市大足区龙水镇新工业园区</w:t>
            </w:r>
          </w:p>
        </w:tc>
        <w:tc>
          <w:tcPr>
            <w:tcW w:w="528" w:type="dxa"/>
            <w:vAlign w:val="center"/>
          </w:tcPr>
          <w:p>
            <w:pPr>
              <w:rPr>
                <w:rFonts w:hint="default" w:eastAsia="宋体"/>
                <w:lang w:val="en-US" w:eastAsia="zh-CN"/>
              </w:rPr>
            </w:pPr>
            <w:r>
              <w:rPr>
                <w:rFonts w:hint="eastAsia"/>
                <w:lang w:val="en-US" w:eastAsia="zh-CN"/>
              </w:rPr>
              <w:t>25</w:t>
            </w:r>
          </w:p>
        </w:tc>
        <w:tc>
          <w:tcPr>
            <w:tcW w:w="2663" w:type="dxa"/>
            <w:vAlign w:val="center"/>
          </w:tcPr>
          <w:p>
            <w:pPr>
              <w:rPr>
                <w:lang w:eastAsia="ja-JP"/>
              </w:rPr>
            </w:pPr>
            <w:r>
              <w:rPr>
                <w:sz w:val="20"/>
              </w:rPr>
              <w:t>电力铁附件、输电线路铁塔、电力金具、建筑钢结构制品的销售所涉及的相关环境管理活动。</w:t>
            </w:r>
          </w:p>
        </w:tc>
        <w:tc>
          <w:tcPr>
            <w:tcW w:w="1615" w:type="dxa"/>
            <w:vAlign w:val="center"/>
          </w:tcPr>
          <w:p>
            <w:pPr>
              <w:spacing w:before="40" w:after="40"/>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GB/T24001-2016/ISO 14001:2015</w:t>
            </w:r>
          </w:p>
        </w:tc>
        <w:tc>
          <w:tcPr>
            <w:tcW w:w="668" w:type="dxa"/>
            <w:shd w:val="clear" w:color="auto" w:fill="FFFFFF"/>
            <w:vAlign w:val="top"/>
          </w:tcPr>
          <w:p>
            <w:pPr>
              <w:rPr>
                <w:rFonts w:ascii="Times New Roman" w:hAnsi="Times New Roman" w:eastAsia="宋体" w:cs="Times New Roman"/>
                <w:b w:val="0"/>
                <w:bCs/>
                <w:kern w:val="2"/>
                <w:sz w:val="21"/>
                <w:szCs w:val="24"/>
                <w:lang w:val="en-US" w:eastAsia="zh-CN" w:bidi="ar-SA"/>
              </w:rPr>
            </w:pPr>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17" w:type="dxa"/>
            <w:vAlign w:val="top"/>
          </w:tcPr>
          <w:p>
            <w:pPr>
              <w:rPr>
                <w:rFonts w:hint="eastAsia" w:ascii="Times New Roman" w:hAnsi="Times New Roman" w:eastAsia="宋体" w:cs="Times New Roman"/>
                <w:kern w:val="2"/>
                <w:sz w:val="21"/>
                <w:szCs w:val="24"/>
                <w:lang w:val="en-US" w:eastAsia="ja-JP" w:bidi="ar-SA"/>
              </w:rPr>
            </w:pPr>
            <w:r>
              <w:rPr>
                <w:sz w:val="21"/>
                <w:szCs w:val="21"/>
              </w:rPr>
              <w:t>重庆竹柳电力成套设备有限公司</w:t>
            </w:r>
            <w:r>
              <w:rPr>
                <w:rFonts w:hint="eastAsia"/>
                <w:sz w:val="21"/>
                <w:szCs w:val="21"/>
                <w:lang w:val="en-US" w:eastAsia="zh-CN"/>
              </w:rPr>
              <w:t>/</w:t>
            </w:r>
            <w:r>
              <w:rPr>
                <w:rFonts w:asciiTheme="minorEastAsia" w:hAnsiTheme="minorEastAsia" w:eastAsiaTheme="minorEastAsia"/>
                <w:sz w:val="20"/>
              </w:rPr>
              <w:t>重庆市九龙坡区华岩镇西山村4社</w:t>
            </w:r>
          </w:p>
        </w:tc>
        <w:tc>
          <w:tcPr>
            <w:tcW w:w="1954"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重庆市大足区龙水镇新工业园区</w:t>
            </w:r>
          </w:p>
        </w:tc>
        <w:tc>
          <w:tcPr>
            <w:tcW w:w="528"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663" w:type="dxa"/>
            <w:vAlign w:val="center"/>
          </w:tcPr>
          <w:p>
            <w:pPr>
              <w:rPr>
                <w:lang w:eastAsia="ja-JP"/>
              </w:rPr>
            </w:pPr>
            <w:r>
              <w:rPr>
                <w:sz w:val="20"/>
              </w:rPr>
              <w:t>电力铁附件、输电线路铁塔、电力金具、建筑钢结构制品的销售所涉及的相关职业健康安全管理活动。</w:t>
            </w:r>
          </w:p>
        </w:tc>
        <w:tc>
          <w:tcPr>
            <w:tcW w:w="1615" w:type="dxa"/>
            <w:vAlign w:val="center"/>
          </w:tcPr>
          <w:p>
            <w:pPr>
              <w:spacing w:before="40" w:after="40"/>
              <w:rPr>
                <w:rFonts w:ascii="Times New Roman" w:hAnsi="Times New Roman" w:eastAsia="宋体" w:cs="Times New Roman"/>
                <w:b w:val="0"/>
                <w:bCs/>
                <w:kern w:val="2"/>
                <w:sz w:val="21"/>
                <w:szCs w:val="24"/>
                <w:lang w:val="en-US" w:eastAsia="ja-JP" w:bidi="ar-SA"/>
              </w:rPr>
            </w:pPr>
            <w:r>
              <w:rPr>
                <w:rFonts w:hint="eastAsia" w:ascii="宋体" w:hAnsi="宋体"/>
                <w:b w:val="0"/>
                <w:bCs/>
                <w:sz w:val="21"/>
                <w:szCs w:val="21"/>
              </w:rPr>
              <w:t>GB/T45001-2020/ISO45001：20</w:t>
            </w:r>
            <w:r>
              <w:rPr>
                <w:rFonts w:hint="eastAsia" w:ascii="宋体" w:hAnsi="宋体"/>
                <w:b w:val="0"/>
                <w:bCs/>
                <w:sz w:val="21"/>
                <w:szCs w:val="21"/>
                <w:lang w:val="en-US" w:eastAsia="zh-CN"/>
              </w:rPr>
              <w:t>18</w:t>
            </w:r>
          </w:p>
        </w:tc>
        <w:tc>
          <w:tcPr>
            <w:tcW w:w="668" w:type="dxa"/>
            <w:shd w:val="clear" w:color="auto" w:fill="FFFFFF"/>
            <w:vAlign w:val="top"/>
          </w:tcPr>
          <w:p>
            <w:pPr>
              <w:rPr>
                <w:rFonts w:ascii="Times New Roman" w:hAnsi="Times New Roman" w:eastAsia="宋体" w:cs="Times New Roman"/>
                <w:b w:val="0"/>
                <w:bCs/>
                <w:kern w:val="2"/>
                <w:sz w:val="21"/>
                <w:szCs w:val="24"/>
                <w:lang w:val="en-US" w:eastAsia="zh-CN" w:bidi="ar-SA"/>
              </w:rPr>
            </w:pPr>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17" w:type="dxa"/>
            <w:vAlign w:val="center"/>
          </w:tcPr>
          <w:p>
            <w:pPr>
              <w:rPr>
                <w:lang w:eastAsia="ja-JP"/>
              </w:rPr>
            </w:pPr>
          </w:p>
        </w:tc>
        <w:tc>
          <w:tcPr>
            <w:tcW w:w="1954" w:type="dxa"/>
            <w:vAlign w:val="center"/>
          </w:tcPr>
          <w:p>
            <w:pPr>
              <w:rPr>
                <w:lang w:eastAsia="ja-JP"/>
              </w:rPr>
            </w:pPr>
          </w:p>
        </w:tc>
        <w:tc>
          <w:tcPr>
            <w:tcW w:w="528" w:type="dxa"/>
            <w:vAlign w:val="center"/>
          </w:tcPr>
          <w:p>
            <w:pPr>
              <w:rPr>
                <w:lang w:eastAsia="ja-JP"/>
              </w:rPr>
            </w:pPr>
          </w:p>
        </w:tc>
        <w:tc>
          <w:tcPr>
            <w:tcW w:w="2663" w:type="dxa"/>
            <w:vAlign w:val="center"/>
          </w:tcPr>
          <w:p>
            <w:pPr>
              <w:rPr>
                <w:lang w:eastAsia="ja-JP"/>
              </w:rPr>
            </w:pPr>
          </w:p>
        </w:tc>
        <w:tc>
          <w:tcPr>
            <w:tcW w:w="161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17" w:type="dxa"/>
            <w:vAlign w:val="center"/>
          </w:tcPr>
          <w:p>
            <w:pPr>
              <w:rPr>
                <w:lang w:eastAsia="ja-JP"/>
              </w:rPr>
            </w:pPr>
          </w:p>
        </w:tc>
        <w:tc>
          <w:tcPr>
            <w:tcW w:w="1954" w:type="dxa"/>
            <w:vAlign w:val="center"/>
          </w:tcPr>
          <w:p>
            <w:pPr>
              <w:rPr>
                <w:lang w:eastAsia="ja-JP"/>
              </w:rPr>
            </w:pPr>
          </w:p>
        </w:tc>
        <w:tc>
          <w:tcPr>
            <w:tcW w:w="528" w:type="dxa"/>
            <w:vAlign w:val="center"/>
          </w:tcPr>
          <w:p>
            <w:pPr>
              <w:rPr>
                <w:lang w:eastAsia="ja-JP"/>
              </w:rPr>
            </w:pPr>
          </w:p>
        </w:tc>
        <w:tc>
          <w:tcPr>
            <w:tcW w:w="2663" w:type="dxa"/>
            <w:vAlign w:val="center"/>
          </w:tcPr>
          <w:p>
            <w:pPr>
              <w:rPr>
                <w:lang w:eastAsia="ja-JP"/>
              </w:rPr>
            </w:pPr>
          </w:p>
        </w:tc>
        <w:tc>
          <w:tcPr>
            <w:tcW w:w="161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17" w:type="dxa"/>
            <w:vAlign w:val="center"/>
          </w:tcPr>
          <w:p>
            <w:pPr>
              <w:rPr>
                <w:lang w:eastAsia="ja-JP"/>
              </w:rPr>
            </w:pPr>
          </w:p>
        </w:tc>
        <w:tc>
          <w:tcPr>
            <w:tcW w:w="1954" w:type="dxa"/>
            <w:vAlign w:val="center"/>
          </w:tcPr>
          <w:p>
            <w:pPr>
              <w:rPr>
                <w:lang w:eastAsia="ja-JP"/>
              </w:rPr>
            </w:pPr>
          </w:p>
        </w:tc>
        <w:tc>
          <w:tcPr>
            <w:tcW w:w="528" w:type="dxa"/>
            <w:vAlign w:val="center"/>
          </w:tcPr>
          <w:p>
            <w:pPr>
              <w:rPr>
                <w:lang w:eastAsia="ja-JP"/>
              </w:rPr>
            </w:pPr>
          </w:p>
        </w:tc>
        <w:tc>
          <w:tcPr>
            <w:tcW w:w="2663" w:type="dxa"/>
            <w:vAlign w:val="center"/>
          </w:tcPr>
          <w:p>
            <w:pPr>
              <w:rPr>
                <w:lang w:eastAsia="ja-JP"/>
              </w:rPr>
            </w:pPr>
          </w:p>
        </w:tc>
        <w:tc>
          <w:tcPr>
            <w:tcW w:w="161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上次不符合为</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行政部ES6.1.3</w:t>
            </w:r>
            <w:r>
              <w:rPr>
                <w:rFonts w:hint="eastAsia" w:ascii="宋体" w:hAnsi="宋体" w:eastAsia="宋体" w:cs="Times New Roman"/>
                <w:color w:val="000000" w:themeColor="text1"/>
                <w:szCs w:val="21"/>
                <w:highlight w:val="none"/>
                <w14:textFill>
                  <w14:solidFill>
                    <w14:schemeClr w14:val="tx1"/>
                  </w14:solidFill>
                </w14:textFill>
              </w:rPr>
              <w:t>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电力铁附件、输电线路铁塔、电力金具、建筑钢结构制品的销售所涉及的相关环境管理活动。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电力铁附件、输电线路铁塔、电力金具、建筑钢结构制品的销售所涉及的相关职业健康安全管理活动。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38810" cy="321945"/>
                  <wp:effectExtent l="0" t="0" r="8890" b="825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38810" cy="32194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2021年11月27日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□检验 </w:t>
            </w:r>
            <w:r>
              <w:rPr>
                <w:rFonts w:hint="eastAsia" w:ascii="宋体" w:hAnsi="宋体" w:eastAsia="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“预防为主，遵规守法，确保环保安全；以人为本，持续改进，实现平安和谐</w:t>
            </w:r>
            <w:r>
              <w:rPr>
                <w:rFonts w:hint="eastAsia" w:ascii="Times New Roman" w:hAnsi="Times New Roman" w:eastAsia="宋体" w:cs="Times New Roman"/>
                <w:color w:val="000000"/>
                <w:szCs w:val="18"/>
                <w:highlight w:val="none"/>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themeColor="text1"/>
                      <w:kern w:val="2"/>
                      <w:sz w:val="21"/>
                      <w:szCs w:val="18"/>
                      <w:highlight w:val="none"/>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固废处置合规率100%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8"/>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宋体" w:cs="Times New Roman"/>
                      <w:color w:val="000000" w:themeColor="text1"/>
                      <w:kern w:val="2"/>
                      <w:sz w:val="21"/>
                      <w:szCs w:val="18"/>
                      <w:highlight w:val="none"/>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火灾发生率为0</w:t>
                  </w:r>
                  <w:r>
                    <w:rPr>
                      <w:rFonts w:hint="eastAsia" w:ascii="宋体" w:hAnsi="宋体" w:cs="宋体"/>
                      <w:color w:val="000000" w:themeColor="text1"/>
                      <w:sz w:val="21"/>
                      <w:szCs w:val="21"/>
                      <w14:textFill>
                        <w14:solidFill>
                          <w14:schemeClr w14:val="tx1"/>
                        </w14:solidFill>
                      </w14:textFill>
                    </w:rPr>
                    <w:t xml:space="preserve">  </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20</w:t>
            </w:r>
            <w:r>
              <w:rPr>
                <w:rFonts w:hint="eastAsia" w:ascii="Times New Roman" w:hAnsi="Times New Roman" w:eastAsia="宋体" w:cs="Times New Roman"/>
                <w:highlight w:val="none"/>
                <w:lang w:val="en-US" w:eastAsia="zh-CN"/>
              </w:rPr>
              <w:t>0平方米左右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lang w:eastAsia="zh-CN"/>
              </w:rPr>
              <w:t>电脑、打印</w:t>
            </w:r>
            <w:r>
              <w:rPr>
                <w:rFonts w:hint="eastAsia" w:ascii="Times New Roman" w:hAnsi="Times New Roman" w:eastAsia="宋体" w:cs="Times New Roman"/>
                <w:highlight w:val="none"/>
                <w:lang w:val="en-US" w:eastAsia="zh-CN"/>
              </w:rPr>
              <w:t>机、</w:t>
            </w:r>
            <w:r>
              <w:rPr>
                <w:rFonts w:hint="eastAsia" w:ascii="Times New Roman" w:hAnsi="Times New Roman" w:eastAsia="宋体" w:cs="Times New Roman"/>
                <w:highlight w:val="none"/>
                <w:lang w:eastAsia="zh-CN"/>
              </w:rPr>
              <w:t>复印机及空调、办公桌椅等。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固废排放</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2021年8月20日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2021年09月25日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2021年9月10日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2021年10月10日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highlight w:val="none"/>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“预防为主，遵规守法，确保环保安全；以人为本，持续改进，实现平安和谐</w:t>
            </w:r>
            <w:r>
              <w:rPr>
                <w:rFonts w:hint="eastAsia" w:ascii="Times New Roman" w:hAnsi="Times New Roman" w:eastAsia="宋体"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highlight w:val="none"/>
                <w:lang w:val="en-US" w:eastAsia="zh-CN"/>
              </w:rPr>
              <w:t>张思建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意外伤害</w:t>
                  </w:r>
                  <w:r>
                    <w:rPr>
                      <w:rFonts w:hint="eastAsia" w:cs="Times New Roman"/>
                      <w:color w:val="000000"/>
                      <w:szCs w:val="18"/>
                      <w:highlight w:val="none"/>
                      <w:lang w:eastAsia="zh-CN"/>
                    </w:rPr>
                    <w:t>事故</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p>
              </w:tc>
              <w:tc>
                <w:tcPr>
                  <w:tcW w:w="3965" w:type="dxa"/>
                </w:tcPr>
                <w:p>
                  <w:pPr>
                    <w:rPr>
                      <w:highlight w:val="none"/>
                    </w:rPr>
                  </w:pPr>
                </w:p>
              </w:tc>
              <w:tc>
                <w:tcPr>
                  <w:tcW w:w="1717"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职业健康安全</w:t>
                  </w:r>
                  <w:r>
                    <w:rPr>
                      <w:rFonts w:hint="eastAsia" w:ascii="宋体" w:hAnsi="宋体"/>
                      <w:color w:val="000000" w:themeColor="text1"/>
                      <w14:textFill>
                        <w14:solidFill>
                          <w14:schemeClr w14:val="tx1"/>
                        </w14:solidFill>
                      </w14:textFill>
                    </w:rPr>
                    <w:t>目标</w:t>
                  </w:r>
                </w:p>
              </w:tc>
              <w:tc>
                <w:tcPr>
                  <w:tcW w:w="3136" w:type="dxa"/>
                  <w:shd w:val="clear" w:color="auto" w:fill="auto"/>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8"/>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宋体" w:cs="Times New Roman"/>
                      <w:color w:val="000000" w:themeColor="text1"/>
                      <w:kern w:val="2"/>
                      <w:sz w:val="21"/>
                      <w:szCs w:val="18"/>
                      <w:highlight w:val="none"/>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火灾发生率为0</w:t>
                  </w:r>
                  <w:r>
                    <w:rPr>
                      <w:rFonts w:hint="eastAsia" w:ascii="宋体" w:hAnsi="宋体" w:cs="宋体"/>
                      <w:color w:val="000000" w:themeColor="text1"/>
                      <w:sz w:val="21"/>
                      <w:szCs w:val="21"/>
                      <w14:textFill>
                        <w14:solidFill>
                          <w14:schemeClr w14:val="tx1"/>
                        </w14:solidFill>
                      </w14:textFill>
                    </w:rPr>
                    <w:t xml:space="preserve"> </w:t>
                  </w:r>
                </w:p>
              </w:tc>
              <w:tc>
                <w:tcPr>
                  <w:tcW w:w="3136" w:type="dxa"/>
                  <w:shd w:val="clear" w:color="auto" w:fill="auto"/>
                  <w:vAlign w:val="center"/>
                </w:tcPr>
                <w:p>
                  <w:pPr>
                    <w:rPr>
                      <w:color w:val="000000" w:themeColor="text1"/>
                      <w:highlight w:val="none"/>
                      <w:lang w:val="en-GB"/>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通过</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管理方案和预案措施</w:t>
                  </w:r>
                  <w:r>
                    <w:rPr>
                      <w:rFonts w:hint="eastAsia" w:asciiTheme="minorEastAsia" w:hAnsiTheme="minorEastAsia" w:eastAsia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应急演练进行</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themeColor="text1"/>
                      <w:kern w:val="2"/>
                      <w:sz w:val="21"/>
                      <w:szCs w:val="18"/>
                      <w:highlight w:val="red"/>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员工意外伤害为</w:t>
                  </w:r>
                  <w:r>
                    <w:rPr>
                      <w:rFonts w:hint="eastAsia" w:ascii="宋体" w:hAnsi="宋体" w:cs="宋体"/>
                      <w:color w:val="000000" w:themeColor="text1"/>
                      <w:sz w:val="21"/>
                      <w:szCs w:val="21"/>
                      <w:lang w:val="en-US" w:eastAsia="zh-CN"/>
                      <w14:textFill>
                        <w14:solidFill>
                          <w14:schemeClr w14:val="tx1"/>
                        </w14:solidFill>
                      </w14:textFill>
                    </w:rPr>
                    <w:t>0</w:t>
                  </w:r>
                </w:p>
              </w:tc>
              <w:tc>
                <w:tcPr>
                  <w:tcW w:w="3136" w:type="dxa"/>
                  <w:shd w:val="clear" w:color="auto" w:fill="auto"/>
                  <w:vAlign w:val="center"/>
                </w:tcPr>
                <w:p>
                  <w:pPr>
                    <w:rPr>
                      <w:rFonts w:ascii="宋体" w:hAnsi="宋体"/>
                      <w:color w:val="000000" w:themeColor="text1"/>
                      <w:highlight w:val="red"/>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通过</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管理方案和预案措施</w:t>
                  </w:r>
                  <w:r>
                    <w:rPr>
                      <w:rFonts w:hint="eastAsia" w:asciiTheme="minorEastAsia" w:hAnsiTheme="minorEastAsia" w:eastAsia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应急演练进行</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办公面积200平方米左右；生产车间  个；库房 500平方米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电脑、打印机、复印机及空调、办公桌椅等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eastAsia="宋体"/>
                <w:highlight w:val="none"/>
                <w:u w:val="single"/>
                <w:lang w:eastAsia="zh-CN"/>
              </w:rPr>
              <w:t>2021年8月20日</w:t>
            </w:r>
            <w:r>
              <w:rPr>
                <w:rFonts w:hint="eastAsia" w:eastAsia="宋体"/>
                <w:highlight w:val="none"/>
              </w:rPr>
              <w:t>进行了火灾消防</w:t>
            </w:r>
            <w:r>
              <w:rPr>
                <w:rFonts w:hint="eastAsia" w:eastAsia="宋体"/>
              </w:rPr>
              <w:t xml:space="preserve">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Times New Roman" w:hAnsi="Times New Roman" w:eastAsia="宋体" w:cs="Times New Roman"/>
                <w:highlight w:val="none"/>
                <w:lang w:eastAsia="zh-CN"/>
              </w:rPr>
              <w:t>2021年09月25日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2021年9月10日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2021年10月10日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bookmarkStart w:id="34" w:name="_GoBack"/>
            <w:r>
              <w:rPr>
                <w:rFonts w:hint="eastAsia"/>
              </w:rPr>
              <w:t>7.4</w:t>
            </w:r>
            <w:bookmarkEnd w:id="34"/>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8C0A25"/>
    <w:rsid w:val="1A833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2021-11-26T05:59:38Z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