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生产部、业务部、行政部、品质部，  </w:t>
            </w:r>
            <w:r>
              <w:rPr>
                <w:rFonts w:hint="eastAsia"/>
                <w:sz w:val="24"/>
                <w:szCs w:val="24"/>
              </w:rPr>
              <w:t>主管领导</w:t>
            </w:r>
            <w:r>
              <w:rPr>
                <w:rFonts w:hint="eastAsia"/>
                <w:sz w:val="24"/>
                <w:szCs w:val="24"/>
                <w:lang w:eastAsia="zh-CN"/>
              </w:rPr>
              <w:t>：，</w:t>
            </w:r>
            <w:r>
              <w:rPr>
                <w:rFonts w:hint="eastAsia"/>
                <w:sz w:val="24"/>
                <w:szCs w:val="24"/>
              </w:rPr>
              <w:t>陪同人员</w:t>
            </w:r>
            <w:r>
              <w:rPr>
                <w:rFonts w:hint="eastAsia"/>
                <w:sz w:val="24"/>
                <w:szCs w:val="24"/>
                <w:lang w:eastAsia="zh-CN"/>
              </w:rPr>
              <w:t>：</w:t>
            </w:r>
            <w:r>
              <w:rPr>
                <w:rFonts w:hint="eastAsia"/>
                <w:sz w:val="24"/>
                <w:szCs w:val="24"/>
                <w:lang w:val="en-US" w:eastAsia="zh-CN"/>
              </w:rPr>
              <w:t>郭龙瑞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伍光华     </w:t>
            </w:r>
            <w:r>
              <w:rPr>
                <w:rFonts w:hint="eastAsia"/>
                <w:sz w:val="24"/>
                <w:szCs w:val="24"/>
              </w:rPr>
              <w:t>审核时间：</w:t>
            </w:r>
            <w:r>
              <w:rPr>
                <w:rFonts w:hint="eastAsia"/>
                <w:sz w:val="24"/>
                <w:szCs w:val="24"/>
                <w:lang w:val="en-US" w:eastAsia="zh-CN"/>
              </w:rPr>
              <w:t>2019.11.24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restart"/>
          </w:tcPr>
          <w:p>
            <w:r>
              <w:rPr>
                <w:rFonts w:hint="eastAsia" w:ascii="宋体" w:hAnsi="宋体"/>
                <w:b/>
                <w:szCs w:val="21"/>
                <w:lang w:val="en-US" w:eastAsia="zh-CN"/>
              </w:rPr>
              <w:t>1、</w:t>
            </w:r>
            <w:r>
              <w:rPr>
                <w:rFonts w:hint="eastAsia" w:ascii="宋体" w:hAnsi="宋体"/>
                <w:b/>
                <w:szCs w:val="21"/>
              </w:rPr>
              <w:t>管理体系组织结构、产品覆盖范围、过程和运作场所等情况</w:t>
            </w:r>
          </w:p>
        </w:tc>
        <w:tc>
          <w:tcPr>
            <w:tcW w:w="960" w:type="dxa"/>
            <w:vMerge w:val="restart"/>
          </w:tcPr>
          <w:p/>
        </w:tc>
        <w:tc>
          <w:tcPr>
            <w:tcW w:w="10004" w:type="dxa"/>
            <w:vMerge w:val="restart"/>
            <w:vAlign w:val="top"/>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郭会军</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朱莉莉</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65</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/EC/MD：</w:t>
            </w:r>
            <w:r>
              <w:rPr>
                <w:rFonts w:ascii="宋体" w:hAnsi="宋体"/>
                <w:u w:val="single"/>
              </w:rPr>
              <w:t xml:space="preserve">   </w:t>
            </w:r>
            <w:r>
              <w:rPr>
                <w:rFonts w:hint="eastAsia" w:ascii="宋体" w:hAnsi="宋体"/>
              </w:rPr>
              <w:t>人；</w:t>
            </w:r>
            <w:r>
              <w:rPr>
                <w:rFonts w:ascii="宋体" w:hAnsi="宋体"/>
              </w:rPr>
              <w:t>E</w:t>
            </w:r>
            <w:r>
              <w:rPr>
                <w:rFonts w:hint="eastAsia" w:ascii="宋体" w:hAnsi="宋体"/>
              </w:rPr>
              <w:t>：</w:t>
            </w:r>
            <w:r>
              <w:rPr>
                <w:rFonts w:ascii="宋体" w:hAnsi="宋体"/>
                <w:u w:val="single"/>
              </w:rPr>
              <w:t xml:space="preserve"> </w:t>
            </w:r>
            <w:r>
              <w:rPr>
                <w:rFonts w:hint="eastAsia" w:ascii="宋体" w:hAnsi="宋体"/>
                <w:u w:val="single"/>
                <w:lang w:val="en-US" w:eastAsia="zh-CN"/>
              </w:rPr>
              <w:t>65</w:t>
            </w:r>
            <w:r>
              <w:rPr>
                <w:rFonts w:ascii="宋体" w:hAnsi="宋体"/>
                <w:u w:val="single"/>
              </w:rPr>
              <w:t xml:space="preserve"> </w:t>
            </w:r>
            <w:r>
              <w:rPr>
                <w:rFonts w:hint="eastAsia" w:ascii="宋体" w:hAnsi="宋体"/>
              </w:rPr>
              <w:t>人；</w:t>
            </w:r>
            <w:r>
              <w:rPr>
                <w:rFonts w:ascii="宋体" w:hAnsi="宋体"/>
              </w:rPr>
              <w:t xml:space="preserve"> S</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p>
            <w:pPr>
              <w:adjustRightInd w:val="0"/>
              <w:spacing w:line="280" w:lineRule="exact"/>
              <w:jc w:val="left"/>
              <w:rPr>
                <w:rFonts w:ascii="宋体"/>
                <w:szCs w:val="21"/>
              </w:rPr>
            </w:pPr>
            <w:r>
              <w:rPr>
                <w:rFonts w:hint="eastAsia" w:ascii="宋体" w:hAnsi="宋体"/>
                <w:szCs w:val="21"/>
              </w:rPr>
              <w:t>3、组织机构设置：</w:t>
            </w:r>
          </w:p>
          <w:p>
            <w:pPr>
              <w:adjustRightInd w:val="0"/>
              <w:spacing w:line="280" w:lineRule="exact"/>
              <w:jc w:val="left"/>
              <w:rPr>
                <w:rFonts w:ascii="宋体"/>
                <w:szCs w:val="21"/>
              </w:rPr>
            </w:pPr>
            <w:r>
              <w:rPr>
                <w:rFonts w:ascii="宋体" w:hAnsi="宋体"/>
                <w:szCs w:val="21"/>
              </w:rPr>
              <w:t>1</w:t>
            </w:r>
            <w:r>
              <w:rPr>
                <w:rFonts w:hint="eastAsia" w:ascii="宋体" w:hAnsi="宋体"/>
                <w:szCs w:val="21"/>
              </w:rPr>
              <w:t>）部门（分公司、车间）设置为：</w:t>
            </w:r>
          </w:p>
          <w:p>
            <w:pPr>
              <w:adjustRightInd w:val="0"/>
              <w:spacing w:line="280" w:lineRule="exact"/>
              <w:ind w:firstLine="420" w:firstLineChars="200"/>
              <w:jc w:val="left"/>
              <w:rPr>
                <w:rFonts w:ascii="宋体" w:hAnsi="宋体"/>
                <w:sz w:val="21"/>
                <w:szCs w:val="21"/>
                <w:u w:val="single"/>
              </w:rPr>
            </w:pPr>
            <w:r>
              <w:rPr>
                <w:rFonts w:hint="eastAsia"/>
                <w:sz w:val="21"/>
                <w:szCs w:val="21"/>
                <w:lang w:val="en-US" w:eastAsia="zh-CN"/>
              </w:rPr>
              <w:t>生产部、业务部、行政部、品质部</w:t>
            </w:r>
          </w:p>
          <w:p>
            <w:pPr>
              <w:adjustRightInd w:val="0"/>
              <w:spacing w:line="280" w:lineRule="exact"/>
              <w:ind w:firstLine="420" w:firstLineChars="200"/>
              <w:jc w:val="left"/>
              <w:rPr>
                <w:rFonts w:ascii="宋体" w:hAnsi="宋体"/>
                <w:u w:val="single"/>
              </w:rPr>
            </w:pPr>
          </w:p>
          <w:p>
            <w:pPr>
              <w:adjustRightInd w:val="0"/>
              <w:spacing w:line="280" w:lineRule="exact"/>
              <w:jc w:val="left"/>
              <w:rPr>
                <w:rFonts w:ascii="宋体"/>
                <w:color w:val="1F497D"/>
                <w:szCs w:val="21"/>
              </w:rPr>
            </w:pPr>
            <w:r>
              <w:rPr>
                <w:rFonts w:hint="eastAsia" w:ascii="宋体" w:hAnsi="宋体"/>
                <w:szCs w:val="21"/>
              </w:rPr>
              <w:t>2）组织存在多场所（含</w:t>
            </w:r>
            <w:r>
              <w:rPr>
                <w:rFonts w:hint="eastAsia" w:ascii="宋体"/>
                <w:szCs w:val="21"/>
              </w:rPr>
              <w:t>临时多场所）</w:t>
            </w:r>
            <w:r>
              <w:rPr>
                <w:rFonts w:hint="eastAsia" w:ascii="宋体" w:hAnsi="宋体"/>
                <w:szCs w:val="21"/>
              </w:rPr>
              <w:t>、生产线情况：</w:t>
            </w:r>
            <w:r>
              <w:rPr>
                <w:rFonts w:hint="eastAsia" w:ascii="宋体"/>
                <w:color w:val="1F497D"/>
                <w:szCs w:val="21"/>
              </w:rPr>
              <w:t xml:space="preserve"> </w:t>
            </w:r>
          </w:p>
          <w:p>
            <w:pPr>
              <w:adjustRightInd w:val="0"/>
              <w:spacing w:line="280" w:lineRule="exact"/>
              <w:jc w:val="left"/>
              <w:rPr>
                <w:rFonts w:ascii="宋体" w:hAnsi="宋体"/>
                <w:szCs w:val="21"/>
              </w:rPr>
            </w:pPr>
          </w:p>
          <w:p>
            <w:pPr>
              <w:adjustRightInd w:val="0"/>
              <w:spacing w:line="280" w:lineRule="exact"/>
              <w:jc w:val="left"/>
              <w:rPr>
                <w:rFonts w:ascii="宋体" w:hAnsi="宋体"/>
                <w:szCs w:val="21"/>
              </w:rPr>
            </w:pPr>
            <w:r>
              <w:rPr>
                <w:rFonts w:hint="eastAsia" w:ascii="宋体" w:hAnsi="宋体"/>
                <w:szCs w:val="21"/>
              </w:rPr>
              <w:t>■不存在</w:t>
            </w:r>
          </w:p>
          <w:p>
            <w:pPr>
              <w:adjustRightInd w:val="0"/>
              <w:spacing w:line="280" w:lineRule="exact"/>
              <w:jc w:val="left"/>
              <w:rPr>
                <w:rFonts w:asci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》一致。</w:t>
            </w:r>
          </w:p>
          <w:p>
            <w:pPr>
              <w:adjustRightInd w:val="0"/>
              <w:spacing w:line="280" w:lineRule="exact"/>
              <w:jc w:val="left"/>
              <w:rPr>
                <w:rFonts w:ascii="宋体" w:hAns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》不一致，说明：</w:t>
            </w:r>
          </w:p>
          <w:p>
            <w:pPr>
              <w:adjustRightInd w:val="0"/>
              <w:spacing w:line="280" w:lineRule="exact"/>
              <w:jc w:val="left"/>
              <w:rPr>
                <w:rFonts w:ascii="宋体"/>
                <w:szCs w:val="21"/>
              </w:rPr>
            </w:pPr>
          </w:p>
          <w:p>
            <w:pPr>
              <w:adjustRightInd w:val="0"/>
              <w:spacing w:line="280" w:lineRule="exact"/>
              <w:jc w:val="left"/>
              <w:rPr>
                <w:rFonts w:ascii="宋体"/>
                <w:szCs w:val="21"/>
              </w:rPr>
            </w:pPr>
            <w:r>
              <w:rPr>
                <w:rFonts w:hint="eastAsia" w:ascii="宋体" w:hAnsi="宋体"/>
                <w:szCs w:val="21"/>
              </w:rPr>
              <w:t>3）组织管理体系文件中的组织机构设置和职责的规定与组织情况：</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一致</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不一致，对不一致情况的改进要求：</w:t>
            </w:r>
          </w:p>
          <w:p>
            <w:pPr>
              <w:adjustRightInd w:val="0"/>
              <w:spacing w:line="280" w:lineRule="exact"/>
              <w:jc w:val="left"/>
              <w:rPr>
                <w:rFonts w:ascii="宋体" w:hAnsi="宋体" w:eastAsia="宋体" w:cs="Times New Roman"/>
                <w:kern w:val="2"/>
                <w:sz w:val="21"/>
                <w:lang w:val="en-US" w:eastAsia="zh-CN" w:bidi="ar-SA"/>
              </w:rPr>
            </w:pP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tcPr>
          <w:p/>
        </w:tc>
        <w:tc>
          <w:tcPr>
            <w:tcW w:w="960" w:type="dxa"/>
            <w:vMerge w:val="continue"/>
          </w:tc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420" w:firstLineChars="200"/>
              <w:jc w:val="left"/>
              <w:rPr>
                <w:rFonts w:ascii="宋体" w:hAnsi="宋体"/>
                <w:u w:val="single"/>
              </w:rPr>
            </w:pPr>
            <w:r>
              <w:rPr>
                <w:rFonts w:hint="eastAsia" w:ascii="宋体" w:hAnsi="宋体"/>
                <w:u w:val="single"/>
              </w:rPr>
              <w:t>生产部、</w:t>
            </w:r>
            <w:r>
              <w:rPr>
                <w:rFonts w:hint="eastAsia" w:ascii="宋体" w:hAnsi="宋体"/>
                <w:szCs w:val="21"/>
              </w:rPr>
              <w:t>车间、仓库、除尘设备所在的场所</w:t>
            </w:r>
          </w:p>
          <w:p>
            <w:pPr>
              <w:adjustRightInd w:val="0"/>
              <w:spacing w:line="280" w:lineRule="exact"/>
              <w:jc w:val="left"/>
              <w:rPr>
                <w:rFonts w:hint="eastAsia" w:ascii="宋体" w:hAnsi="宋体"/>
                <w:szCs w:val="21"/>
              </w:rPr>
            </w:pPr>
            <w:r>
              <w:rPr>
                <w:rFonts w:hint="eastAsia" w:ascii="宋体" w:hAnsi="宋体"/>
                <w:szCs w:val="21"/>
              </w:rPr>
              <w:t>查部门及关键场所是否正常运行：■是　□否，说明：</w:t>
            </w:r>
            <w:r>
              <w:rPr>
                <w:rFonts w:ascii="宋体" w:hAnsi="宋体"/>
                <w:szCs w:val="21"/>
                <w:u w:val="single"/>
              </w:rPr>
              <w:t xml:space="preserve">                     </w:t>
            </w:r>
          </w:p>
          <w:p>
            <w:pPr>
              <w:widowControl/>
              <w:spacing w:line="280" w:lineRule="exact"/>
              <w:rPr>
                <w:rFonts w:ascii="宋体" w:hAnsi="宋体"/>
                <w:szCs w:val="21"/>
                <w:u w:val="single"/>
              </w:rPr>
            </w:pPr>
            <w:r>
              <w:rPr>
                <w:rFonts w:hint="eastAsia" w:ascii="宋体" w:hAnsi="宋体"/>
                <w:szCs w:val="21"/>
              </w:rPr>
              <w:t>5、体系覆盖产品、服务、活动范围为：</w:t>
            </w:r>
          </w:p>
          <w:p>
            <w:pPr>
              <w:spacing w:line="276" w:lineRule="auto"/>
              <w:rPr>
                <w:rFonts w:ascii="宋体" w:hAnsi="宋体" w:cs="宋体"/>
                <w:kern w:val="0"/>
                <w:szCs w:val="21"/>
              </w:rPr>
            </w:pPr>
            <w:r>
              <w:rPr>
                <w:rFonts w:ascii="宋体" w:hAnsi="宋体"/>
                <w:b/>
                <w:szCs w:val="21"/>
              </w:rPr>
              <w:t>QMS</w:t>
            </w:r>
            <w:r>
              <w:rPr>
                <w:rFonts w:hint="eastAsia" w:ascii="宋体" w:hAnsi="宋体"/>
                <w:b/>
                <w:szCs w:val="21"/>
              </w:rPr>
              <w:t>:</w:t>
            </w:r>
            <w:r>
              <w:rPr>
                <w:rFonts w:hint="eastAsia" w:ascii="宋体" w:hAnsi="宋体" w:cs="宋体"/>
                <w:kern w:val="0"/>
                <w:szCs w:val="21"/>
                <w:lang w:bidi="ar"/>
              </w:rPr>
              <w:t xml:space="preserve"> </w:t>
            </w:r>
            <w:r>
              <w:rPr>
                <w:rFonts w:hint="eastAsia" w:ascii="宋体" w:hAnsi="宋体" w:cs="宋体"/>
                <w:kern w:val="0"/>
                <w:szCs w:val="21"/>
                <w:u w:val="single"/>
              </w:rPr>
              <w:t xml:space="preserve">                                                                 </w:t>
            </w:r>
          </w:p>
          <w:p>
            <w:pPr>
              <w:spacing w:line="276" w:lineRule="auto"/>
              <w:jc w:val="left"/>
              <w:rPr>
                <w:rFonts w:ascii="宋体" w:hAnsi="宋体"/>
                <w:b/>
                <w:bCs/>
                <w:color w:val="000000"/>
                <w:szCs w:val="21"/>
                <w:u w:val="single"/>
              </w:rPr>
            </w:pPr>
            <w:r>
              <w:rPr>
                <w:rFonts w:ascii="宋体" w:hAnsi="宋体" w:cs="宋体"/>
                <w:b/>
                <w:kern w:val="0"/>
                <w:szCs w:val="21"/>
              </w:rPr>
              <w:t>EMS:</w:t>
            </w:r>
            <w:r>
              <w:rPr>
                <w:rFonts w:hint="eastAsia" w:ascii="宋体" w:hAnsi="宋体" w:cs="宋体"/>
                <w:kern w:val="0"/>
                <w:szCs w:val="21"/>
              </w:rPr>
              <w:t xml:space="preserve"> </w:t>
            </w:r>
            <w:bookmarkStart w:id="0" w:name="审核范围"/>
            <w:r>
              <w:rPr>
                <w:rFonts w:hint="eastAsia" w:ascii="宋体" w:hAnsi="宋体"/>
                <w:szCs w:val="21"/>
              </w:rPr>
              <w:t>锻造件</w:t>
            </w:r>
            <w:r>
              <w:rPr>
                <w:rFonts w:hint="eastAsia" w:ascii="宋体" w:hAnsi="宋体"/>
                <w:szCs w:val="21"/>
                <w:lang w:eastAsia="zh-CN"/>
              </w:rPr>
              <w:t>（</w:t>
            </w:r>
            <w:r>
              <w:rPr>
                <w:rFonts w:hint="eastAsia" w:ascii="宋体" w:hAnsi="宋体"/>
                <w:szCs w:val="21"/>
                <w:lang w:val="en-US" w:eastAsia="zh-CN"/>
              </w:rPr>
              <w:t>齿轮</w:t>
            </w:r>
            <w:r>
              <w:rPr>
                <w:rFonts w:hint="eastAsia" w:ascii="宋体" w:hAnsi="宋体"/>
                <w:szCs w:val="21"/>
                <w:lang w:eastAsia="zh-CN"/>
              </w:rPr>
              <w:t>）</w:t>
            </w:r>
            <w:r>
              <w:rPr>
                <w:rFonts w:hint="eastAsia" w:ascii="宋体" w:hAnsi="宋体"/>
                <w:szCs w:val="21"/>
              </w:rPr>
              <w:t>的生产</w:t>
            </w:r>
            <w:bookmarkEnd w:id="0"/>
            <w:bookmarkStart w:id="1" w:name="_GoBack"/>
            <w:bookmarkEnd w:id="1"/>
          </w:p>
          <w:p>
            <w:pPr>
              <w:spacing w:line="0" w:lineRule="atLeast"/>
              <w:jc w:val="left"/>
              <w:rPr>
                <w:rFonts w:ascii="宋体" w:hAnsi="宋体"/>
                <w:szCs w:val="21"/>
                <w:u w:val="single"/>
              </w:rPr>
            </w:pPr>
            <w:r>
              <w:rPr>
                <w:rFonts w:ascii="宋体" w:hAnsi="宋体"/>
                <w:b/>
                <w:szCs w:val="21"/>
              </w:rPr>
              <w:t>OHSMS:</w:t>
            </w:r>
            <w:r>
              <w:rPr>
                <w:rFonts w:hint="eastAsia" w:ascii="宋体" w:hAnsi="宋体"/>
                <w:b/>
                <w:szCs w:val="21"/>
              </w:rPr>
              <w:t xml:space="preserve"> </w:t>
            </w:r>
            <w:r>
              <w:rPr>
                <w:rFonts w:hint="eastAsia" w:ascii="宋体" w:hAnsi="宋体"/>
                <w:b/>
                <w:szCs w:val="21"/>
                <w:u w:val="single"/>
              </w:rPr>
              <w:t xml:space="preserve">                                                               </w:t>
            </w: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t>□有，条款及要求：</w:t>
            </w:r>
          </w:p>
          <w:p>
            <w:pPr>
              <w:adjustRightInd w:val="0"/>
              <w:spacing w:line="280" w:lineRule="exact"/>
              <w:jc w:val="left"/>
              <w:rPr>
                <w:rFonts w:ascii="Arial" w:hAnsi="Arial" w:cs="Arial"/>
                <w:spacing w:val="-5"/>
                <w:szCs w:val="21"/>
                <w:u w:val="single"/>
              </w:rPr>
            </w:pP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，理由：</w:t>
            </w:r>
          </w:p>
          <w:p>
            <w:pPr>
              <w:adjustRightInd w:val="0"/>
              <w:spacing w:line="280" w:lineRule="exact"/>
              <w:jc w:val="left"/>
              <w:rPr>
                <w:rFonts w:ascii="宋体" w:hAnsi="宋体" w:eastAsia="宋体" w:cs="Times New Roman"/>
                <w:kern w:val="2"/>
                <w:sz w:val="21"/>
                <w:szCs w:val="21"/>
                <w:lang w:val="en-US" w:eastAsia="zh-CN" w:bidi="ar-SA"/>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eastAsia" w:eastAsia="宋体"/>
                <w:lang w:val="en-US" w:eastAsia="zh-CN"/>
              </w:rPr>
            </w:pPr>
            <w:r>
              <w:rPr>
                <w:rFonts w:hint="eastAsia"/>
                <w:lang w:val="en-US" w:eastAsia="zh-CN"/>
              </w:rPr>
              <w:t>2、</w:t>
            </w:r>
            <w:r>
              <w:rPr>
                <w:rFonts w:hint="eastAsia" w:ascii="宋体" w:hAnsi="宋体"/>
                <w:b/>
                <w:bCs/>
              </w:rPr>
              <w:t>管理体系文件</w:t>
            </w:r>
          </w:p>
        </w:tc>
        <w:tc>
          <w:tcPr>
            <w:tcW w:w="960" w:type="dxa"/>
          </w:tcPr>
          <w:p/>
        </w:tc>
        <w:tc>
          <w:tcPr>
            <w:tcW w:w="10004" w:type="dxa"/>
            <w:vMerge w:val="restart"/>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201</w:t>
            </w:r>
            <w:r>
              <w:rPr>
                <w:rFonts w:hint="eastAsia" w:ascii="宋体" w:hAnsi="宋体"/>
                <w:u w:val="single"/>
                <w:lang w:val="en-US" w:eastAsia="zh-CN"/>
              </w:rPr>
              <w:t>9</w:t>
            </w:r>
            <w:r>
              <w:rPr>
                <w:rFonts w:hint="eastAsia" w:ascii="宋体" w:hAnsi="宋体"/>
                <w:u w:val="single"/>
              </w:rPr>
              <w:t>年</w:t>
            </w:r>
            <w:r>
              <w:rPr>
                <w:rFonts w:hint="eastAsia" w:ascii="宋体" w:hAnsi="宋体"/>
                <w:u w:val="single"/>
                <w:lang w:val="en-US" w:eastAsia="zh-CN"/>
              </w:rPr>
              <w:t>4</w:t>
            </w:r>
            <w:r>
              <w:rPr>
                <w:rFonts w:hint="eastAsia" w:ascii="宋体" w:hAnsi="宋体"/>
                <w:u w:val="single"/>
              </w:rPr>
              <w:t>月1日</w:t>
            </w:r>
            <w:r>
              <w:rPr>
                <w:rFonts w:hint="eastAsia" w:ascii="宋体" w:hAnsi="宋体"/>
              </w:rPr>
              <w:t>开始贯标工作：</w:t>
            </w:r>
          </w:p>
          <w:p>
            <w:pPr>
              <w:adjustRightInd w:val="0"/>
              <w:spacing w:line="360"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rPr>
              <w:t>自行</w:t>
            </w:r>
          </w:p>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eastAsia="宋体" w:cs="宋体"/>
                <w:kern w:val="2"/>
                <w:sz w:val="21"/>
                <w:szCs w:val="24"/>
                <w:lang w:val="en-US" w:eastAsia="zh-CN" w:bidi="ar-SA"/>
              </w:rPr>
            </w:pPr>
            <w:r>
              <w:rPr>
                <w:rFonts w:hint="eastAsia" w:ascii="Arial" w:hAnsi="Arial" w:cs="Arial"/>
                <w:szCs w:val="21"/>
              </w:rPr>
              <w:t>管理制度、管理程序 。</w:t>
            </w:r>
          </w:p>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201</w:t>
            </w:r>
            <w:r>
              <w:rPr>
                <w:rFonts w:hint="eastAsia" w:ascii="宋体" w:hAnsi="宋体"/>
                <w:szCs w:val="22"/>
                <w:lang w:val="en-US" w:eastAsia="zh-CN"/>
              </w:rPr>
              <w:t>9</w:t>
            </w:r>
            <w:r>
              <w:rPr>
                <w:rFonts w:hint="eastAsia" w:ascii="宋体" w:hAnsi="宋体"/>
                <w:szCs w:val="22"/>
              </w:rPr>
              <w:t xml:space="preserve">年 </w:t>
            </w:r>
            <w:r>
              <w:rPr>
                <w:rFonts w:hint="eastAsia" w:ascii="宋体" w:hAnsi="宋体"/>
                <w:szCs w:val="22"/>
                <w:lang w:val="en-US" w:eastAsia="zh-CN"/>
              </w:rPr>
              <w:t>5</w:t>
            </w:r>
            <w:r>
              <w:rPr>
                <w:rFonts w:hint="eastAsia" w:ascii="宋体" w:hAnsi="宋体"/>
                <w:szCs w:val="22"/>
              </w:rPr>
              <w:t>月1日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hint="eastAsia" w:ascii="宋体" w:hAnsi="宋体" w:eastAsia="宋体" w:cs="Times New Roman"/>
                <w:kern w:val="2"/>
                <w:sz w:val="21"/>
                <w:lang w:val="en-US" w:eastAsia="zh-CN" w:bidi="ar-SA"/>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default" w:eastAsia="宋体"/>
                <w:lang w:val="en-US" w:eastAsia="zh-CN"/>
              </w:rPr>
            </w:pPr>
            <w:r>
              <w:rPr>
                <w:rFonts w:hint="eastAsia"/>
                <w:lang w:val="en-US" w:eastAsia="zh-CN"/>
              </w:rPr>
              <w:t>3、</w:t>
            </w: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tc>
        <w:tc>
          <w:tcPr>
            <w:tcW w:w="10004" w:type="dxa"/>
            <w:vAlign w:val="top"/>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 xml:space="preserve"> 2）监视和评审情况：</w:t>
            </w:r>
          </w:p>
          <w:p>
            <w:pPr>
              <w:adjustRightInd w:val="0"/>
              <w:spacing w:line="360" w:lineRule="auto"/>
              <w:jc w:val="left"/>
              <w:rPr>
                <w:rFonts w:ascii="宋体" w:hAnsi="宋体"/>
              </w:rPr>
            </w:pPr>
            <w:r>
              <w:rPr>
                <w:rFonts w:hint="eastAsia" w:ascii="宋体" w:hAnsi="宋体"/>
              </w:rPr>
              <w:t>2、产品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hint="eastAsia" w:ascii="宋体" w:hAnsi="宋体"/>
                <w:szCs w:val="21"/>
              </w:rPr>
            </w:pPr>
            <w:r>
              <w:drawing>
                <wp:anchor distT="0" distB="0" distL="114300" distR="114300" simplePos="0" relativeHeight="251673600" behindDoc="0" locked="0" layoutInCell="1" allowOverlap="1">
                  <wp:simplePos x="0" y="0"/>
                  <wp:positionH relativeFrom="column">
                    <wp:posOffset>812800</wp:posOffset>
                  </wp:positionH>
                  <wp:positionV relativeFrom="paragraph">
                    <wp:posOffset>61595</wp:posOffset>
                  </wp:positionV>
                  <wp:extent cx="4001135" cy="1914525"/>
                  <wp:effectExtent l="0" t="0" r="1206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001135" cy="1914525"/>
                          </a:xfrm>
                          <a:prstGeom prst="rect">
                            <a:avLst/>
                          </a:prstGeom>
                          <a:noFill/>
                          <a:ln>
                            <a:noFill/>
                          </a:ln>
                        </pic:spPr>
                      </pic:pic>
                    </a:graphicData>
                  </a:graphic>
                </wp:anchor>
              </w:drawing>
            </w:r>
            <w:r>
              <w:rPr>
                <w:rFonts w:hint="eastAsia" w:ascii="宋体" w:hAnsi="宋体"/>
                <w:szCs w:val="21"/>
              </w:rPr>
              <w:t>1）过程描述：</w:t>
            </w:r>
          </w:p>
          <w:p>
            <w:pPr>
              <w:adjustRightInd w:val="0"/>
              <w:spacing w:line="360" w:lineRule="auto"/>
              <w:jc w:val="left"/>
              <w:rPr>
                <w:rFonts w:hint="eastAsia" w:ascii="宋体" w:hAnsi="宋体"/>
                <w:szCs w:val="21"/>
              </w:rPr>
            </w:pPr>
          </w:p>
          <w:p>
            <w:pPr>
              <w:adjustRightInd w:val="0"/>
              <w:spacing w:line="360" w:lineRule="auto"/>
              <w:jc w:val="left"/>
              <w:rPr>
                <w:rFonts w:hint="eastAsia" w:ascii="宋体" w:hAnsi="宋体"/>
                <w:szCs w:val="21"/>
              </w:rPr>
            </w:pPr>
          </w:p>
          <w:p>
            <w:pPr>
              <w:adjustRightInd w:val="0"/>
              <w:spacing w:line="360" w:lineRule="auto"/>
              <w:jc w:val="left"/>
              <w:rPr>
                <w:rFonts w:hint="eastAsia" w:ascii="宋体" w:hAnsi="宋体"/>
                <w:szCs w:val="21"/>
              </w:rPr>
            </w:pPr>
          </w:p>
          <w:p>
            <w:pPr>
              <w:adjustRightInd w:val="0"/>
              <w:spacing w:line="360" w:lineRule="auto"/>
              <w:jc w:val="left"/>
              <w:rPr>
                <w:rFonts w:hint="eastAsia" w:ascii="宋体" w:hAnsi="宋体"/>
                <w:szCs w:val="21"/>
              </w:rPr>
            </w:pP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hint="eastAsia" w:ascii="Times New Roman" w:hAnsi="Times New Roman" w:eastAsia="宋体" w:cs="Times New Roman"/>
                <w:color w:val="4F81BD"/>
                <w:kern w:val="2"/>
                <w:sz w:val="21"/>
                <w:lang w:val="en-US" w:eastAsia="zh-CN" w:bidi="ar-SA"/>
              </w:rPr>
            </w:pPr>
            <w:r>
              <w:rPr>
                <w:rFonts w:hint="eastAsia" w:ascii="宋体" w:hAnsi="宋体"/>
                <w:color w:val="4F81BD"/>
                <w:szCs w:val="21"/>
              </w:rPr>
              <w:t>辨识是否正确：□正确</w:t>
            </w:r>
            <w:r>
              <w:rPr>
                <w:rFonts w:ascii="宋体" w:hAnsi="宋体"/>
                <w:color w:val="4F81BD"/>
                <w:szCs w:val="21"/>
              </w:rPr>
              <w:t xml:space="preserve"> </w:t>
            </w:r>
            <w:r>
              <w:rPr>
                <w:rFonts w:hint="eastAsia" w:ascii="宋体" w:hAnsi="宋体"/>
                <w:color w:val="4F81BD"/>
                <w:szCs w:val="21"/>
              </w:rPr>
              <w:t xml:space="preserve">  □不正确或遗漏，说明：</w:t>
            </w:r>
          </w:p>
          <w:p>
            <w:pPr>
              <w:adjustRightInd w:val="0"/>
              <w:spacing w:line="360" w:lineRule="auto"/>
              <w:jc w:val="left"/>
              <w:rPr>
                <w:rFonts w:ascii="宋体" w:hAnsi="宋体"/>
                <w:szCs w:val="21"/>
              </w:rPr>
            </w:pPr>
            <w:r>
              <w:rPr>
                <w:rFonts w:hint="eastAsia" w:ascii="宋体" w:hAnsi="宋体"/>
                <w:szCs w:val="21"/>
              </w:rPr>
              <w:t>5、外包过程及管控情况：</w:t>
            </w:r>
          </w:p>
          <w:p>
            <w:pPr>
              <w:adjustRightInd w:val="0"/>
              <w:spacing w:line="360" w:lineRule="auto"/>
              <w:ind w:firstLine="420"/>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 xml:space="preserve">无   </w:t>
            </w:r>
            <w:r>
              <w:rPr>
                <w:rFonts w:hint="eastAsia" w:ascii="宋体" w:hAnsi="宋体"/>
                <w:szCs w:val="21"/>
                <w:lang w:eastAsia="zh-CN"/>
              </w:rPr>
              <w:t>□</w:t>
            </w:r>
            <w:r>
              <w:rPr>
                <w:rFonts w:hint="eastAsia" w:ascii="宋体" w:hAnsi="宋体"/>
                <w:szCs w:val="21"/>
              </w:rPr>
              <w:t>有，说明具体的外包过程及管理控制情况：</w:t>
            </w:r>
          </w:p>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固体废弃物的排放、 火灾、能源消耗 </w:t>
            </w:r>
            <w:r>
              <w:rPr>
                <w:rFonts w:hint="eastAsia" w:ascii="宋体" w:hAnsi="宋体"/>
                <w:u w:val="single"/>
                <w:lang w:eastAsia="zh-CN"/>
              </w:rPr>
              <w:t>、</w:t>
            </w:r>
            <w:r>
              <w:rPr>
                <w:rFonts w:hint="eastAsia" w:ascii="宋体" w:hAnsi="宋体"/>
                <w:szCs w:val="21"/>
              </w:rPr>
              <w:t>噪声排放</w:t>
            </w:r>
            <w:r>
              <w:rPr>
                <w:rFonts w:hint="eastAsia" w:ascii="宋体" w:hAnsi="宋体"/>
              </w:rPr>
              <w:t>。</w:t>
            </w:r>
          </w:p>
          <w:p>
            <w:pPr>
              <w:adjustRightInd w:val="0"/>
              <w:spacing w:line="360" w:lineRule="auto"/>
              <w:jc w:val="left"/>
              <w:rPr>
                <w:rFonts w:ascii="宋体" w:hAnsi="宋体"/>
                <w:u w:val="single"/>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rPr>
              <w:t xml:space="preserve"> 4 </w:t>
            </w:r>
            <w:r>
              <w:rPr>
                <w:rFonts w:ascii="宋体" w:hAnsi="宋体"/>
                <w:u w:val="single"/>
              </w:rPr>
              <w:t xml:space="preserve"> </w:t>
            </w:r>
            <w:r>
              <w:rPr>
                <w:rFonts w:hint="eastAsia" w:ascii="宋体" w:hAnsi="宋体"/>
              </w:rPr>
              <w:t>项，经评价为重要环境因素的有：</w:t>
            </w:r>
            <w:r>
              <w:rPr>
                <w:rFonts w:hint="eastAsia" w:ascii="宋体" w:hAnsi="宋体"/>
                <w:u w:val="single"/>
              </w:rPr>
              <w:t>固体废弃物的排放、火灾、能源消耗、资源消耗</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Cs w:val="21"/>
              </w:rPr>
              <w:t>□齐全</w:t>
            </w:r>
          </w:p>
          <w:p>
            <w:pPr>
              <w:adjustRightInd w:val="0"/>
              <w:spacing w:line="360" w:lineRule="auto"/>
              <w:jc w:val="left"/>
              <w:rPr>
                <w:rFonts w:ascii="宋体" w:hAnsi="宋体"/>
                <w:szCs w:val="21"/>
              </w:rPr>
            </w:pPr>
            <w:r>
              <w:rPr>
                <w:rFonts w:hint="eastAsia" w:ascii="宋体" w:hAnsi="宋体"/>
                <w:szCs w:val="21"/>
              </w:rPr>
              <w:t>☑有遗漏，遗漏部分有： 废气排放、</w:t>
            </w:r>
          </w:p>
          <w:p>
            <w:pPr>
              <w:adjustRightInd w:val="0"/>
              <w:spacing w:line="360" w:lineRule="auto"/>
              <w:jc w:val="left"/>
              <w:rPr>
                <w:rFonts w:hint="eastAsia" w:ascii="宋体" w:hAnsi="宋体" w:eastAsia="宋体" w:cs="Times New Roman"/>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eastAsia" w:eastAsia="宋体"/>
                <w:lang w:val="en-US" w:eastAsia="zh-CN"/>
              </w:rPr>
            </w:pPr>
            <w:r>
              <w:rPr>
                <w:rFonts w:hint="eastAsia" w:ascii="宋体" w:hAnsi="宋体"/>
                <w:b/>
                <w:szCs w:val="21"/>
                <w:lang w:val="en-US" w:eastAsia="zh-CN"/>
              </w:rPr>
              <w:t>4、</w:t>
            </w:r>
            <w:r>
              <w:rPr>
                <w:rFonts w:hint="eastAsia" w:ascii="宋体" w:hAnsi="宋体"/>
                <w:b/>
                <w:szCs w:val="21"/>
              </w:rPr>
              <w:t>相关法律法规及其它要求的遵守情况</w:t>
            </w:r>
          </w:p>
        </w:tc>
        <w:tc>
          <w:tcPr>
            <w:tcW w:w="960" w:type="dxa"/>
          </w:tcPr>
          <w:p/>
        </w:tc>
        <w:tc>
          <w:tcPr>
            <w:tcW w:w="10004"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lang w:eastAsia="zh-CN"/>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rPr>
              <w:t>□</w:t>
            </w:r>
            <w:r>
              <w:rPr>
                <w:rFonts w:hint="eastAsia" w:ascii="宋体" w:hAnsi="宋体"/>
                <w:color w:val="000000"/>
                <w:szCs w:val="21"/>
              </w:rPr>
              <w:t>危险化学品销售许可证；</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rPr>
            </w:pPr>
            <w:r>
              <w:rPr>
                <w:rFonts w:hint="eastAsia" w:ascii="宋体" w:hAnsi="宋体"/>
              </w:rPr>
              <w:t>说明：</w:t>
            </w:r>
            <w:r>
              <w:rPr>
                <w:rFonts w:ascii="宋体" w:hAnsi="宋体"/>
                <w:u w:val="single"/>
              </w:rPr>
              <w:t xml:space="preserve">                                                                                          </w:t>
            </w:r>
          </w:p>
          <w:p>
            <w:pPr>
              <w:adjustRightInd w:val="0"/>
              <w:spacing w:line="360" w:lineRule="auto"/>
              <w:jc w:val="left"/>
              <w:rPr>
                <w:rFonts w:ascii="宋体" w:hAnsi="宋体"/>
                <w:u w:val="single"/>
              </w:rPr>
            </w:pPr>
            <w:r>
              <w:rPr>
                <w:rFonts w:hint="eastAsia" w:ascii="宋体" w:hAnsi="宋体"/>
              </w:rPr>
              <w:t>□有怀疑，包括</w:t>
            </w:r>
            <w:r>
              <w:rPr>
                <w:rFonts w:ascii="宋体" w:hAnsi="宋体"/>
                <w:u w:val="single"/>
              </w:rPr>
              <w:t xml:space="preserve">                                                                          </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rPr>
              <w:t>核实记录：</w:t>
            </w:r>
            <w:r>
              <w:rPr>
                <w:rFonts w:ascii="宋体" w:hAnsi="宋体"/>
                <w:u w:val="single"/>
              </w:rPr>
              <w:t xml:space="preserve">                      </w:t>
            </w:r>
          </w:p>
          <w:p>
            <w:pPr>
              <w:adjustRightInd w:val="0"/>
              <w:spacing w:line="360" w:lineRule="auto"/>
              <w:jc w:val="left"/>
              <w:rPr>
                <w:rFonts w:ascii="宋体" w:hAnsi="宋体"/>
                <w:szCs w:val="21"/>
                <w:u w:val="single"/>
              </w:rPr>
            </w:pPr>
            <w:r>
              <w:rPr>
                <w:rFonts w:ascii="宋体" w:hAnsi="宋体"/>
                <w:szCs w:val="21"/>
              </w:rPr>
              <w:t>2</w:t>
            </w:r>
            <w:r>
              <w:rPr>
                <w:rFonts w:hint="eastAsia" w:ascii="宋体" w:hAnsi="宋体"/>
                <w:szCs w:val="21"/>
              </w:rPr>
              <w:t>、组织识别了适用的法律、法规、标准和规范等，主要包括：</w:t>
            </w:r>
            <w:r>
              <w:rPr>
                <w:rFonts w:ascii="宋体" w:hAnsi="宋体"/>
                <w:szCs w:val="21"/>
                <w:u w:val="single"/>
              </w:rPr>
              <w:t xml:space="preserve">  环保法</w:t>
            </w:r>
            <w:r>
              <w:rPr>
                <w:rFonts w:hint="eastAsia" w:ascii="宋体" w:hAnsi="宋体"/>
                <w:szCs w:val="21"/>
                <w:u w:val="single"/>
              </w:rPr>
              <w:t>、</w:t>
            </w:r>
            <w:r>
              <w:rPr>
                <w:rFonts w:hint="eastAsia" w:ascii="宋体" w:hAnsi="宋体"/>
                <w:szCs w:val="24"/>
                <w:u w:val="single"/>
              </w:rPr>
              <w:t>消防法、</w:t>
            </w:r>
            <w:r>
              <w:rPr>
                <w:rFonts w:hint="eastAsia" w:ascii="宋体" w:hAnsi="宋体"/>
                <w:szCs w:val="21"/>
                <w:u w:val="single"/>
              </w:rPr>
              <w:t>节约能源法</w:t>
            </w:r>
            <w:r>
              <w:rPr>
                <w:rFonts w:hint="eastAsia" w:ascii="宋体" w:hAnsi="宋体"/>
                <w:szCs w:val="24"/>
                <w:u w:val="single"/>
              </w:rPr>
              <w:t>、危险废物贮存污染控制标准 等。</w:t>
            </w:r>
          </w:p>
          <w:p>
            <w:pPr>
              <w:adjustRightInd w:val="0"/>
              <w:spacing w:line="360" w:lineRule="auto"/>
              <w:jc w:val="left"/>
              <w:rPr>
                <w:rFonts w:hint="eastAsia" w:ascii="宋体" w:hAnsi="宋体" w:eastAsia="宋体" w:cs="Times New Roman"/>
                <w:kern w:val="2"/>
                <w:sz w:val="21"/>
                <w:szCs w:val="21"/>
                <w:u w:val="single"/>
                <w:lang w:val="en-US" w:eastAsia="zh-CN" w:bidi="ar-SA"/>
              </w:rPr>
            </w:pPr>
            <w:r>
              <w:rPr>
                <w:rFonts w:hint="eastAsia" w:ascii="宋体" w:hAnsi="宋体"/>
                <w:szCs w:val="21"/>
              </w:rPr>
              <w:t>漏识别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eastAsia="宋体" w:cs="Times New Roman"/>
                <w:kern w:val="2"/>
                <w:sz w:val="21"/>
                <w:u w:val="single"/>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lang w:val="en-US" w:eastAsia="zh-CN"/>
              </w:rPr>
            </w:pPr>
            <w:r>
              <w:rPr>
                <w:rFonts w:hint="eastAsia"/>
                <w:lang w:val="en-US" w:eastAsia="zh-CN"/>
              </w:rPr>
              <w:t>5、</w:t>
            </w:r>
            <w:r>
              <w:rPr>
                <w:rFonts w:hint="eastAsia" w:ascii="宋体" w:hAnsi="宋体"/>
                <w:b/>
                <w:szCs w:val="21"/>
              </w:rPr>
              <w:t>运行控制和关键绩效：</w:t>
            </w:r>
          </w:p>
        </w:tc>
        <w:tc>
          <w:tcPr>
            <w:tcW w:w="960" w:type="dxa"/>
          </w:tcPr>
          <w:p/>
        </w:tc>
        <w:tc>
          <w:tcPr>
            <w:tcW w:w="10004" w:type="dxa"/>
            <w:vAlign w:val="top"/>
          </w:tcPr>
          <w:p>
            <w:pPr>
              <w:adjustRightInd w:val="0"/>
              <w:spacing w:line="360" w:lineRule="auto"/>
              <w:jc w:val="left"/>
              <w:rPr>
                <w:rFonts w:ascii="宋体" w:hAnsi="宋体"/>
                <w:szCs w:val="24"/>
                <w:u w:val="single"/>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hAnsi="宋体"/>
                <w:szCs w:val="24"/>
                <w:u w:val="single"/>
              </w:rPr>
              <w:t>GB/T1184-1996《形状和位置公差未注公差值》、，</w:t>
            </w:r>
          </w:p>
          <w:p>
            <w:pPr>
              <w:adjustRightInd w:val="0"/>
              <w:spacing w:line="360" w:lineRule="auto"/>
              <w:jc w:val="left"/>
              <w:rPr>
                <w:rFonts w:ascii="宋体" w:hAnsi="宋体"/>
                <w:color w:val="auto"/>
              </w:rPr>
            </w:pPr>
            <w:r>
              <w:rPr>
                <w:rFonts w:hint="eastAsia" w:ascii="宋体" w:hAnsi="宋体"/>
                <w:color w:val="auto"/>
              </w:rPr>
              <w:t>运行控制过程中，产品质量的控制情况（一阶段现场审核时，结合运行现场观察）：</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auto"/>
                <w:szCs w:val="21"/>
              </w:rPr>
            </w:pPr>
            <w:r>
              <w:rPr>
                <w:rFonts w:hint="eastAsia" w:ascii="宋体" w:hAnsi="宋体"/>
                <w:color w:val="auto"/>
                <w:szCs w:val="21"/>
              </w:rPr>
              <w:t>c.顾客满意情况或相关方的反馈：</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b/>
                <w:szCs w:val="21"/>
              </w:rPr>
              <w:t xml:space="preserve">       </w:t>
            </w:r>
            <w:r>
              <w:rPr>
                <w:rFonts w:hint="eastAsia" w:ascii="宋体" w:hAnsi="宋体"/>
                <w:b w:val="0"/>
                <w:bCs/>
                <w:szCs w:val="21"/>
              </w:rPr>
              <w:t>能满足顾客的要求，顾客反应良好，质量较好。</w:t>
            </w:r>
          </w:p>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u w:val="single"/>
              </w:rPr>
              <w:t>固体废弃物的排放、噪声排放、废气排放</w:t>
            </w:r>
            <w:r>
              <w:rPr>
                <w:rFonts w:hint="eastAsia" w:ascii="宋体" w:hAnsi="宋体"/>
                <w:szCs w:val="21"/>
                <w:u w:val="single"/>
              </w:rPr>
              <w:t xml:space="preserve">   </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keepNext w:val="0"/>
              <w:keepLines w:val="0"/>
              <w:widowControl/>
              <w:suppressLineNumbers w:val="0"/>
              <w:jc w:val="left"/>
              <w:rPr>
                <w:sz w:val="21"/>
                <w:szCs w:val="21"/>
              </w:rPr>
            </w:pPr>
            <w:r>
              <w:rPr>
                <w:rFonts w:hint="eastAsia" w:ascii="宋体" w:hAnsi="宋体"/>
              </w:rPr>
              <w:t>受控情况：</w:t>
            </w:r>
            <w:r>
              <w:rPr>
                <w:rFonts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、废气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主要为工艺废气。工艺废气主要抛丸废气。 选用抛喷丸清理机，产生粉尘。粉尘的主要成分包括：铁屑、废砂等。采用布袋除尘器对抛丸清理设备清理锻件时产生的粉尘集中收尘，处理后经 </w:t>
            </w:r>
            <w:r>
              <w:rPr>
                <w:rFonts w:hint="default" w:ascii="TimesNewRomanPSMT" w:hAnsi="TimesNewRomanPSMT" w:eastAsia="TimesNewRomanPSMT" w:cs="TimesNewRomanPSMT"/>
                <w:color w:val="000000"/>
                <w:kern w:val="0"/>
                <w:sz w:val="21"/>
                <w:szCs w:val="21"/>
                <w:lang w:val="en-US" w:eastAsia="zh-CN" w:bidi="ar"/>
              </w:rPr>
              <w:t xml:space="preserve">15m </w:t>
            </w:r>
            <w:r>
              <w:rPr>
                <w:rFonts w:hint="eastAsia" w:ascii="宋体" w:hAnsi="宋体" w:eastAsia="宋体" w:cs="宋体"/>
                <w:color w:val="000000"/>
                <w:kern w:val="0"/>
                <w:sz w:val="21"/>
                <w:szCs w:val="21"/>
                <w:lang w:val="en-US" w:eastAsia="zh-CN" w:bidi="ar"/>
              </w:rPr>
              <w:t>排气筒高空排放。</w:t>
            </w:r>
          </w:p>
          <w:p>
            <w:pPr>
              <w:keepNext w:val="0"/>
              <w:keepLines w:val="0"/>
              <w:widowControl/>
              <w:suppressLineNumbers w:val="0"/>
              <w:jc w:val="left"/>
              <w:rPr>
                <w:sz w:val="21"/>
                <w:szCs w:val="21"/>
              </w:rPr>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、废水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运营过程中产生的废水为职工生活污水。生活污水在厂区化粪池暂存，定期交由附近村民拉运灌溉。 </w:t>
            </w:r>
          </w:p>
          <w:p>
            <w:pPr>
              <w:keepNext w:val="0"/>
              <w:keepLines w:val="0"/>
              <w:widowControl/>
              <w:suppressLineNumbers w:val="0"/>
              <w:jc w:val="left"/>
              <w:rPr>
                <w:sz w:val="21"/>
                <w:szCs w:val="21"/>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、噪声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基础减震，厂房隔声等措施来降低机械噪声对外界的影响。</w:t>
            </w:r>
          </w:p>
          <w:p>
            <w:pPr>
              <w:keepNext w:val="0"/>
              <w:keepLines w:val="0"/>
              <w:widowControl/>
              <w:suppressLineNumbers w:val="0"/>
              <w:jc w:val="left"/>
              <w:rPr>
                <w:sz w:val="21"/>
                <w:szCs w:val="21"/>
              </w:rPr>
            </w:pP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、固体废物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）切割边角料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）抛丸粉尘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）危险废物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在设备检修产生的废机油，属于危废，收集在厂区危废暂存间临时储存，定期交由陕西明瑞资源再生有限公司回收处理。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）生活垃圾 </w:t>
            </w:r>
          </w:p>
          <w:p>
            <w:pPr>
              <w:keepNext w:val="0"/>
              <w:keepLines w:val="0"/>
              <w:widowControl/>
              <w:suppressLineNumbers w:val="0"/>
              <w:jc w:val="left"/>
              <w:rPr>
                <w:rFonts w:ascii="宋体" w:hAnsi="宋体"/>
              </w:rPr>
            </w:pPr>
            <w:r>
              <w:rPr>
                <w:rFonts w:hint="eastAsia" w:ascii="宋体" w:hAnsi="宋体" w:eastAsia="宋体" w:cs="宋体"/>
                <w:color w:val="000000"/>
                <w:kern w:val="0"/>
                <w:sz w:val="21"/>
                <w:szCs w:val="21"/>
                <w:lang w:val="en-US" w:eastAsia="zh-CN" w:bidi="ar"/>
              </w:rPr>
              <w:t xml:space="preserve">生活垃圾主要由员工办公产生。办公区，车间固定投放垃圾桶，生活垃圾分类收集后由环卫部门统一清运。 </w:t>
            </w:r>
          </w:p>
          <w:p>
            <w:pPr>
              <w:adjustRightInd w:val="0"/>
              <w:spacing w:line="360" w:lineRule="auto"/>
              <w:jc w:val="left"/>
              <w:rPr>
                <w:rFonts w:ascii="宋体" w:hAnsi="宋体"/>
                <w:szCs w:val="21"/>
              </w:rPr>
            </w:pPr>
            <w:r>
              <w:rPr>
                <w:rFonts w:hint="eastAsia" w:ascii="宋体" w:hAnsi="宋体"/>
              </w:rPr>
              <w:t>c.</w:t>
            </w:r>
            <w:r>
              <w:rPr>
                <w:rFonts w:hint="eastAsia" w:ascii="宋体" w:hAnsi="宋体"/>
                <w:szCs w:val="21"/>
              </w:rPr>
              <w:t xml:space="preserve"> 监测报告提供情况：</w:t>
            </w:r>
          </w:p>
          <w:p>
            <w:pPr>
              <w:spacing w:line="360" w:lineRule="auto"/>
              <w:ind w:firstLine="420" w:firstLineChars="200"/>
              <w:rPr>
                <w:rFonts w:ascii="宋体"/>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u w:val="single"/>
                <w:lang w:val="en-US" w:eastAsia="zh-CN"/>
              </w:rPr>
              <w:t>宝鸡市瑞焱金属磨料有限责任公司</w:t>
            </w:r>
            <w:r>
              <w:rPr>
                <w:rFonts w:hint="eastAsia" w:ascii="宋体"/>
                <w:u w:val="single"/>
              </w:rPr>
              <w:t>废气、噪声监测报告，编号</w:t>
            </w:r>
            <w:r>
              <w:rPr>
                <w:rFonts w:hint="eastAsia" w:ascii="宋体"/>
                <w:u w:val="single"/>
                <w:lang w:val="en-US" w:eastAsia="zh-CN"/>
              </w:rPr>
              <w:t>正为监（综）字（2019）第1107号</w:t>
            </w:r>
            <w:r>
              <w:rPr>
                <w:rFonts w:hint="eastAsia" w:ascii="宋体"/>
                <w:u w:val="single"/>
              </w:rPr>
              <w:t>，报告日期2019.</w:t>
            </w:r>
            <w:r>
              <w:rPr>
                <w:rFonts w:hint="eastAsia" w:ascii="宋体"/>
                <w:u w:val="single"/>
                <w:lang w:val="en-US" w:eastAsia="zh-CN"/>
              </w:rPr>
              <w:t>11</w:t>
            </w:r>
            <w:r>
              <w:rPr>
                <w:rFonts w:hint="eastAsia" w:ascii="宋体"/>
                <w:u w:val="single"/>
              </w:rPr>
              <w:t>.2</w:t>
            </w:r>
            <w:r>
              <w:rPr>
                <w:rFonts w:hint="eastAsia" w:ascii="宋体"/>
                <w:u w:val="single"/>
                <w:lang w:val="en-US" w:eastAsia="zh-CN"/>
              </w:rPr>
              <w:t>1</w:t>
            </w:r>
            <w:r>
              <w:rPr>
                <w:rFonts w:hint="eastAsia" w:ascii="宋体"/>
                <w:u w:val="single"/>
              </w:rPr>
              <w:t>日，监测单位陕西</w:t>
            </w:r>
            <w:r>
              <w:rPr>
                <w:rFonts w:hint="eastAsia" w:ascii="宋体"/>
                <w:u w:val="single"/>
                <w:lang w:val="en-US" w:eastAsia="zh-CN"/>
              </w:rPr>
              <w:t>正为环境</w:t>
            </w:r>
            <w:r>
              <w:rPr>
                <w:rFonts w:hint="eastAsia" w:ascii="宋体"/>
                <w:u w:val="single"/>
              </w:rPr>
              <w:t>检测有限公司，监测结果符合排放标准要求。</w:t>
            </w:r>
          </w:p>
          <w:p>
            <w:pPr>
              <w:adjustRightInd w:val="0"/>
              <w:spacing w:line="360" w:lineRule="auto"/>
              <w:jc w:val="left"/>
              <w:rPr>
                <w:rFonts w:ascii="宋体"/>
                <w:szCs w:val="21"/>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合格</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jc w:val="left"/>
              <w:rPr>
                <w:rFonts w:ascii="宋体"/>
                <w:u w:val="single"/>
              </w:rPr>
            </w:pPr>
            <w:r>
              <w:rPr>
                <w:rFonts w:hint="eastAsia" w:ascii="宋体"/>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p>
            <w:pPr>
              <w:adjustRightInd w:val="0"/>
              <w:spacing w:line="360" w:lineRule="auto"/>
              <w:jc w:val="left"/>
              <w:rPr>
                <w:rFonts w:hint="default" w:ascii="宋体" w:hAnsi="宋体" w:eastAsia="宋体"/>
                <w:b w:val="0"/>
                <w:bCs w:val="0"/>
                <w:color w:val="4F81BD"/>
                <w:sz w:val="21"/>
                <w:szCs w:val="21"/>
                <w:lang w:val="en-US" w:eastAsia="zh-CN"/>
              </w:rPr>
            </w:pPr>
            <w:r>
              <w:rPr>
                <w:rFonts w:hint="eastAsia" w:ascii="宋体" w:hAnsi="宋体"/>
                <w:szCs w:val="21"/>
              </w:rPr>
              <w:t>1、管理体系的</w:t>
            </w:r>
            <w:r>
              <w:rPr>
                <w:rFonts w:hint="eastAsia" w:ascii="宋体" w:hAnsi="宋体"/>
                <w:color w:val="auto"/>
                <w:szCs w:val="21"/>
              </w:rPr>
              <w:t>方针：</w:t>
            </w:r>
            <w:r>
              <w:rPr>
                <w:rFonts w:hint="eastAsia" w:ascii="宋体" w:hAnsi="宋体"/>
                <w:color w:val="auto"/>
                <w:szCs w:val="21"/>
                <w:lang w:val="en-US" w:eastAsia="zh-CN"/>
              </w:rPr>
              <w:t>让环保扎根此刻  用绿色昭示未来</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环境目标4个</w:t>
            </w:r>
          </w:p>
          <w:p>
            <w:pPr>
              <w:adjustRightInd w:val="0"/>
              <w:spacing w:line="360" w:lineRule="auto"/>
              <w:jc w:val="left"/>
              <w:rPr>
                <w:rFonts w:ascii="宋体" w:hAnsi="宋体"/>
                <w:color w:val="auto"/>
                <w:szCs w:val="21"/>
              </w:rPr>
            </w:pPr>
            <w:r>
              <w:rPr>
                <w:rFonts w:hint="eastAsia" w:ascii="宋体" w:hAnsi="宋体"/>
                <w:color w:val="auto"/>
                <w:szCs w:val="21"/>
              </w:rPr>
              <w:t>a.在各职能、层次、过程的建立情况，确定实现目标/指标的方案情况及实现情况：</w:t>
            </w:r>
            <w:r>
              <w:rPr>
                <w:rFonts w:ascii="宋体" w:hAnsi="宋体"/>
                <w:color w:val="auto"/>
                <w:szCs w:val="21"/>
              </w:rPr>
              <w:t xml:space="preserve"> </w:t>
            </w:r>
          </w:p>
          <w:p>
            <w:pPr>
              <w:adjustRightInd w:val="0"/>
              <w:spacing w:line="360" w:lineRule="auto"/>
              <w:ind w:firstLine="420" w:firstLineChars="200"/>
              <w:jc w:val="left"/>
              <w:rPr>
                <w:rFonts w:ascii="宋体" w:hAnsi="宋体"/>
                <w:szCs w:val="21"/>
              </w:rPr>
            </w:pPr>
            <w:r>
              <w:rPr>
                <w:rFonts w:hint="eastAsia" w:ascii="宋体" w:hAnsi="宋体"/>
                <w:szCs w:val="21"/>
                <w:u w:val="single"/>
              </w:rPr>
              <w:t xml:space="preserve">企业已进行了分解，符合要求。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6、</w:t>
            </w:r>
            <w:r>
              <w:rPr>
                <w:rFonts w:hint="eastAsia" w:ascii="宋体" w:hAnsi="宋体"/>
                <w:b/>
                <w:bCs/>
                <w:szCs w:val="21"/>
              </w:rPr>
              <w:t>组织内部审核策划和实施情况</w:t>
            </w:r>
          </w:p>
        </w:tc>
        <w:tc>
          <w:tcPr>
            <w:tcW w:w="960" w:type="dxa"/>
          </w:tcPr>
          <w:p/>
        </w:tc>
        <w:tc>
          <w:tcPr>
            <w:tcW w:w="10004" w:type="dxa"/>
            <w:vAlign w:val="top"/>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xml:space="preserve">　2019  </w:t>
            </w:r>
            <w:r>
              <w:rPr>
                <w:rFonts w:hint="eastAsia" w:ascii="宋体" w:hAnsi="宋体"/>
              </w:rPr>
              <w:t>年</w:t>
            </w:r>
            <w:r>
              <w:rPr>
                <w:rFonts w:hint="eastAsia" w:ascii="宋体" w:hAnsi="宋体"/>
                <w:u w:val="single"/>
              </w:rPr>
              <w:t>　</w:t>
            </w:r>
            <w:r>
              <w:rPr>
                <w:rFonts w:hint="eastAsia" w:ascii="宋体" w:hAnsi="宋体"/>
                <w:u w:val="single"/>
                <w:lang w:val="en-US" w:eastAsia="zh-CN"/>
              </w:rPr>
              <w:t>8</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1-2</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rPr>
              <w:t>□</w:t>
            </w:r>
            <w:r>
              <w:rPr>
                <w:rFonts w:ascii="宋体" w:hAnsi="宋体"/>
              </w:rPr>
              <w:t xml:space="preserve">QMS  </w:t>
            </w:r>
            <w:r>
              <w:rPr>
                <w:rFonts w:hint="eastAsia"/>
                <w:lang w:eastAsia="zh-CN"/>
              </w:rPr>
              <w:t>☑</w:t>
            </w:r>
            <w:r>
              <w:rPr>
                <w:rFonts w:ascii="宋体" w:hAnsi="宋体"/>
              </w:rPr>
              <w:t xml:space="preserve">EMS  </w:t>
            </w:r>
            <w:r>
              <w:rPr>
                <w:rFonts w:hint="eastAsia"/>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bCs/>
                <w:kern w:val="2"/>
                <w:sz w:val="21"/>
                <w:szCs w:val="21"/>
                <w:lang w:val="en-US" w:eastAsia="zh-CN" w:bidi="ar-SA"/>
              </w:rPr>
            </w:pPr>
            <w:r>
              <w:rPr>
                <w:rFonts w:hint="eastAsia" w:ascii="宋体" w:hAnsi="宋体"/>
                <w:u w:val="single"/>
              </w:rPr>
              <w:t>　　公司的管理体系符合标准要求，体系运行有效。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restart"/>
          </w:tcPr>
          <w:p>
            <w:pPr>
              <w:rPr>
                <w:rFonts w:hint="default" w:eastAsia="宋体"/>
                <w:lang w:val="en-US" w:eastAsia="zh-CN"/>
              </w:rPr>
            </w:pPr>
            <w:r>
              <w:rPr>
                <w:rFonts w:hint="eastAsia"/>
                <w:lang w:val="en-US" w:eastAsia="zh-CN"/>
              </w:rPr>
              <w:t>7、</w:t>
            </w:r>
            <w:r>
              <w:rPr>
                <w:rFonts w:hint="eastAsia" w:ascii="宋体" w:hAnsi="宋体"/>
                <w:b/>
                <w:bCs/>
                <w:szCs w:val="21"/>
              </w:rPr>
              <w:t>组织进行管理评审的情况</w:t>
            </w:r>
          </w:p>
        </w:tc>
        <w:tc>
          <w:tcPr>
            <w:tcW w:w="0" w:type="auto"/>
          </w:tcPr>
          <w:p/>
        </w:tc>
        <w:tc>
          <w:tcPr>
            <w:tcW w:w="10004" w:type="dxa"/>
            <w:vMerge w:val="restart"/>
            <w:vAlign w:val="top"/>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2019</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8</w:t>
            </w:r>
            <w:r>
              <w:rPr>
                <w:rFonts w:hint="eastAsia" w:ascii="宋体" w:hAnsi="宋体"/>
              </w:rPr>
              <w:t>月</w:t>
            </w:r>
            <w:r>
              <w:rPr>
                <w:rFonts w:hint="eastAsia" w:ascii="宋体" w:hAnsi="宋体"/>
                <w:u w:val="single"/>
              </w:rPr>
              <w:t>　</w:t>
            </w:r>
            <w:r>
              <w:rPr>
                <w:rFonts w:hint="eastAsia" w:ascii="宋体" w:hAnsi="宋体"/>
                <w:u w:val="single"/>
                <w:lang w:val="en-US" w:eastAsia="zh-CN"/>
              </w:rPr>
              <w:t>20</w:t>
            </w:r>
            <w:r>
              <w:rPr>
                <w:rFonts w:hint="eastAsia" w:ascii="宋体" w:hAnsi="宋体"/>
                <w:u w:val="single"/>
              </w:rPr>
              <w:t>　</w:t>
            </w:r>
            <w:r>
              <w:rPr>
                <w:rFonts w:hint="eastAsia" w:ascii="宋体" w:hAnsi="宋体"/>
              </w:rPr>
              <w:t>日实施，由最高管理者：</w:t>
            </w:r>
            <w:r>
              <w:rPr>
                <w:rFonts w:hint="eastAsia" w:ascii="宋体" w:hAnsi="宋体"/>
                <w:u w:val="single"/>
              </w:rPr>
              <w:t xml:space="preserve"> </w:t>
            </w:r>
            <w:r>
              <w:rPr>
                <w:rFonts w:hint="eastAsia" w:ascii="宋体" w:hAnsi="宋体"/>
                <w:u w:val="single"/>
                <w:lang w:val="en-US" w:eastAsia="zh-CN"/>
              </w:rPr>
              <w:t>郭会军</w:t>
            </w:r>
            <w:r>
              <w:rPr>
                <w:rFonts w:hint="eastAsia" w:ascii="仿宋" w:hAnsi="仿宋" w:eastAsia="仿宋"/>
                <w:bCs/>
                <w:sz w:val="24"/>
                <w:u w:val="single"/>
              </w:rPr>
              <w:t xml:space="preserve">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hint="eastAsia" w:ascii="宋体" w:hAnsi="宋体" w:eastAsia="宋体" w:cs="Times New Roman"/>
                <w:b/>
                <w:bCs/>
                <w:kern w:val="2"/>
                <w:sz w:val="21"/>
                <w:szCs w:val="21"/>
                <w:lang w:val="en-US" w:eastAsia="zh-CN" w:bidi="ar-SA"/>
              </w:rPr>
            </w:pPr>
            <w:r>
              <w:rPr>
                <w:rFonts w:ascii="宋体" w:hAnsi="宋体"/>
              </w:rPr>
              <w:t>3</w:t>
            </w:r>
            <w:r>
              <w:rPr>
                <w:rFonts w:hint="eastAsia" w:ascii="宋体" w:hAnsi="宋体"/>
              </w:rPr>
              <w:t>、管理评审报告对□</w:t>
            </w:r>
            <w:r>
              <w:rPr>
                <w:rFonts w:ascii="宋体" w:hAnsi="宋体"/>
              </w:rPr>
              <w:t>QMS</w:t>
            </w:r>
            <w:r>
              <w:rPr>
                <w:rFonts w:hint="eastAsia" w:ascii="宋体" w:hAnsi="宋体"/>
              </w:rPr>
              <w:t>/MDQMS</w:t>
            </w:r>
            <w:r>
              <w:rPr>
                <w:rFonts w:hint="eastAsia" w:ascii="MS Mincho" w:hAnsi="MS Mincho" w:eastAsia="MS Mincho" w:cs="MS Mincho"/>
              </w:rPr>
              <w:t>☑</w:t>
            </w:r>
            <w:r>
              <w:rPr>
                <w:rFonts w:ascii="宋体" w:hAnsi="宋体"/>
              </w:rPr>
              <w:t>EMS</w:t>
            </w:r>
            <w:r>
              <w:rPr>
                <w:rFonts w:hint="eastAsia" w:ascii="宋体" w:hAnsi="宋体"/>
              </w:rPr>
              <w:t>□</w:t>
            </w:r>
            <w:r>
              <w:rPr>
                <w:rFonts w:ascii="宋体" w:hAnsi="宋体"/>
              </w:rPr>
              <w:t>OHSMS</w:t>
            </w:r>
            <w:r>
              <w:rPr>
                <w:rFonts w:hint="eastAsia" w:ascii="宋体" w:hAnsi="宋体"/>
              </w:rPr>
              <w:t>的适宜性、充分性和有效性的结论：</w:t>
            </w:r>
            <w:r>
              <w:rPr>
                <w:rFonts w:hint="eastAsia" w:ascii="宋体" w:hAnsi="宋体"/>
                <w:szCs w:val="22"/>
                <w:u w:val="single"/>
              </w:rPr>
              <w:t>环境管理体系是适宜的、有效的、充分的</w:t>
            </w:r>
            <w:r>
              <w:rPr>
                <w:rFonts w:hint="eastAsia" w:ascii="宋体" w:hAnsi="宋体"/>
                <w:szCs w:val="22"/>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Merge w:val="continue"/>
          </w:tcPr>
          <w:p>
            <w:pPr>
              <w:rPr>
                <w:rFonts w:hint="eastAsia" w:eastAsia="宋体"/>
                <w:lang w:val="en-US" w:eastAsia="zh-CN"/>
              </w:rPr>
            </w:pPr>
          </w:p>
        </w:tc>
        <w:tc>
          <w:tcPr>
            <w:tcW w:w="0" w:type="auto"/>
          </w:tcPr>
          <w:p/>
        </w:tc>
        <w:tc>
          <w:tcPr>
            <w:tcW w:w="10004" w:type="dxa"/>
            <w:vMerge w:val="continue"/>
            <w:vAlign w:val="top"/>
          </w:tcPr>
          <w:p>
            <w:pPr>
              <w:pStyle w:val="2"/>
              <w:spacing w:after="0" w:line="360" w:lineRule="auto"/>
              <w:ind w:left="0" w:leftChars="0"/>
              <w:rPr>
                <w:rFonts w:hint="eastAsia" w:ascii="宋体" w:hAnsi="宋体" w:eastAsia="宋体" w:cs="Times New Roman"/>
                <w:b/>
                <w:bCs/>
                <w:kern w:val="2"/>
                <w:sz w:val="21"/>
                <w:szCs w:val="21"/>
                <w:lang w:val="en-US" w:eastAsia="zh-CN" w:bidi="ar-SA"/>
              </w:rPr>
            </w:pPr>
          </w:p>
        </w:tc>
        <w:tc>
          <w:tcPr>
            <w:tcW w:w="1585" w:type="dxa"/>
            <w:vMerge w:val="continue"/>
          </w:tcPr>
          <w:p/>
        </w:tc>
      </w:tr>
    </w:tbl>
    <w:p>
      <w:r>
        <w:ptab w:relativeTo="margin" w:alignment="center" w:leader="none"/>
      </w:r>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5D1D98"/>
    <w:rsid w:val="179E1A44"/>
    <w:rsid w:val="499A609C"/>
    <w:rsid w:val="539C19AC"/>
    <w:rsid w:val="5B065775"/>
    <w:rsid w:val="5B31646A"/>
    <w:rsid w:val="696B5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2019-11-29T14:18:55Z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