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12"/>
        <w:gridCol w:w="1064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12"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42" w:type="dxa"/>
            <w:vAlign w:val="center"/>
          </w:tcPr>
          <w:p>
            <w:pPr>
              <w:rPr>
                <w:rFonts w:hint="default" w:eastAsia="宋体"/>
                <w:sz w:val="24"/>
                <w:szCs w:val="24"/>
                <w:lang w:val="en-US" w:eastAsia="zh-CN"/>
              </w:rPr>
            </w:pPr>
            <w:r>
              <w:rPr>
                <w:rFonts w:hint="eastAsia"/>
                <w:sz w:val="24"/>
                <w:szCs w:val="24"/>
              </w:rPr>
              <w:t xml:space="preserve">受审核部门：管理层（含员工代表） </w:t>
            </w:r>
            <w:r>
              <w:rPr>
                <w:sz w:val="24"/>
                <w:szCs w:val="24"/>
              </w:rPr>
              <w:t xml:space="preserve">   </w:t>
            </w:r>
            <w:r>
              <w:rPr>
                <w:rFonts w:hint="eastAsia"/>
                <w:sz w:val="24"/>
                <w:szCs w:val="24"/>
              </w:rPr>
              <w:t>总经理</w:t>
            </w:r>
            <w:r>
              <w:rPr>
                <w:rFonts w:hint="eastAsia"/>
                <w:sz w:val="24"/>
                <w:szCs w:val="24"/>
                <w:lang w:eastAsia="zh-CN"/>
              </w:rPr>
              <w:t>：</w:t>
            </w:r>
            <w:r>
              <w:rPr>
                <w:rFonts w:hint="eastAsia"/>
                <w:sz w:val="24"/>
                <w:szCs w:val="24"/>
                <w:lang w:val="en-US" w:eastAsia="zh-CN"/>
              </w:rPr>
              <w:t>曹心斌  管代</w:t>
            </w:r>
            <w:r>
              <w:rPr>
                <w:rFonts w:hint="eastAsia"/>
                <w:sz w:val="24"/>
                <w:szCs w:val="24"/>
              </w:rPr>
              <w:t>：</w:t>
            </w:r>
            <w:r>
              <w:rPr>
                <w:rFonts w:hint="eastAsia"/>
                <w:sz w:val="24"/>
                <w:szCs w:val="24"/>
                <w:lang w:val="en-US" w:eastAsia="zh-CN"/>
              </w:rPr>
              <w:t>周陌夫   员工代表：肖旭阳</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1012" w:type="dxa"/>
            <w:vMerge w:val="continue"/>
            <w:vAlign w:val="center"/>
          </w:tcPr>
          <w:p/>
        </w:tc>
        <w:tc>
          <w:tcPr>
            <w:tcW w:w="10642" w:type="dxa"/>
            <w:vAlign w:val="center"/>
          </w:tcPr>
          <w:p>
            <w:pPr>
              <w:rPr>
                <w:rFonts w:hint="default"/>
                <w:sz w:val="24"/>
                <w:szCs w:val="24"/>
                <w:lang w:val="en-US"/>
              </w:rPr>
            </w:pPr>
            <w:r>
              <w:rPr>
                <w:rFonts w:hint="eastAsia"/>
                <w:sz w:val="24"/>
                <w:szCs w:val="24"/>
              </w:rPr>
              <w:t>审核员：</w:t>
            </w:r>
            <w:r>
              <w:rPr>
                <w:rFonts w:hint="eastAsia"/>
                <w:sz w:val="24"/>
                <w:szCs w:val="24"/>
                <w:lang w:val="en-US" w:eastAsia="zh-CN"/>
              </w:rPr>
              <w:t>温红玲</w:t>
            </w:r>
            <w:r>
              <w:rPr>
                <w:rFonts w:hint="eastAsia"/>
                <w:sz w:val="24"/>
                <w:szCs w:val="24"/>
              </w:rPr>
              <w:t xml:space="preserve">   审核时间：</w:t>
            </w:r>
            <w:r>
              <w:rPr>
                <w:rFonts w:hint="eastAsia" w:cs="Times New Roman"/>
                <w:b/>
                <w:kern w:val="2"/>
                <w:sz w:val="21"/>
                <w:szCs w:val="21"/>
                <w:lang w:val="en-US" w:eastAsia="zh-CN" w:bidi="ar-SA"/>
              </w:rPr>
              <w:t>2021-12-12</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1012" w:type="dxa"/>
            <w:vMerge w:val="continue"/>
            <w:vAlign w:val="center"/>
          </w:tcPr>
          <w:p/>
        </w:tc>
        <w:tc>
          <w:tcPr>
            <w:tcW w:w="10642" w:type="dxa"/>
            <w:vAlign w:val="center"/>
          </w:tcPr>
          <w:p>
            <w:pPr>
              <w:spacing w:line="240" w:lineRule="auto"/>
              <w:rPr>
                <w:rFonts w:hint="eastAsia"/>
              </w:rPr>
            </w:pPr>
            <w:r>
              <w:rPr>
                <w:rFonts w:hint="eastAsia"/>
              </w:rPr>
              <w:t>审核条款：</w:t>
            </w:r>
          </w:p>
          <w:p>
            <w:pPr>
              <w:pStyle w:val="10"/>
              <w:spacing w:line="240" w:lineRule="auto"/>
              <w:rPr>
                <w:rFonts w:hint="eastAsia"/>
              </w:rPr>
            </w:pPr>
            <w:r>
              <w:rPr>
                <w:rFonts w:hint="eastAsia"/>
              </w:rPr>
              <w:t>QMS:4.1理解组织及其环境、4.2理解相关方的需求和期望、4.3 确定管理体系的范围、4.4质量管理体系及其过程、5.1领导作用和承诺、5.2质量方针、5.3组织的岗位、职责和权限、6.1应对风险和机遇的措施、6.2质量目标及其实现的策划、Q6.3变更的策划、7.1.1资源总则、7.4沟通/信息交流、9.3管理评审、10.1改进、10.3持续改进，</w:t>
            </w:r>
          </w:p>
          <w:p>
            <w:pPr>
              <w:pStyle w:val="10"/>
              <w:spacing w:line="240" w:lineRule="auto"/>
              <w:rPr>
                <w:rFonts w:hint="eastAsia"/>
              </w:rPr>
            </w:pPr>
            <w:r>
              <w:rPr>
                <w:rFonts w:hint="eastAsia"/>
              </w:rPr>
              <w:t>EMS/OHSMS:4.1理解组织及其环境、4.2理解相关方的需求和期望、4.3 确定管理体系的范围、4.4职业健康安全管理体系及其过程、5.1领导作用和承诺、5.2职业健康安全方针、5.3组织的岗位、职责和权限、O5.4协商与参与、6.1应对风险和机遇的措施、6.2职业健康安全目标及其实现的策划、7.1资源总则、7.4沟通/信息交流、9.3管理评审、10.1改进、10.3持续改进，</w:t>
            </w:r>
          </w:p>
          <w:p>
            <w:pPr>
              <w:pStyle w:val="10"/>
              <w:spacing w:line="240" w:lineRule="auto"/>
              <w:rPr>
                <w:rFonts w:hint="eastAsia"/>
              </w:rPr>
            </w:pPr>
            <w:r>
              <w:rPr>
                <w:rFonts w:hint="eastAsia"/>
              </w:rPr>
              <w:t>EMS：国家/地方监督抽查情况；顾客满意、相关方投诉及处理情况；一阶段问题验证，验证企业相关资质证明的有效性；</w:t>
            </w:r>
          </w:p>
          <w:p>
            <w:pPr>
              <w:pStyle w:val="10"/>
              <w:spacing w:line="240" w:lineRule="auto"/>
            </w:pPr>
            <w:r>
              <w:rPr>
                <w:rFonts w:hint="eastAsia"/>
              </w:rPr>
              <w:t>QMS/OHSMS: 标准/规范/法规的执行情况、上次审核不符合项的验证、认证证书、标志的使用情况、投诉或事故、监督抽查情况、体系变动</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ascii="宋体" w:hAnsi="宋体" w:cs="宋体"/>
                <w:szCs w:val="21"/>
              </w:rPr>
            </w:pPr>
            <w:r>
              <w:rPr>
                <w:rFonts w:hint="eastAsia" w:ascii="宋体" w:hAnsi="宋体" w:cs="宋体"/>
                <w:szCs w:val="21"/>
              </w:rPr>
              <w:t>理解组织及其环境</w:t>
            </w:r>
          </w:p>
          <w:p>
            <w:pPr>
              <w:spacing w:line="280" w:lineRule="exact"/>
              <w:rPr>
                <w:rFonts w:ascii="宋体" w:hAnsi="宋体" w:cs="宋体"/>
                <w:szCs w:val="21"/>
              </w:rPr>
            </w:pPr>
            <w:r>
              <w:rPr>
                <w:rFonts w:hint="eastAsia" w:ascii="宋体" w:hAnsi="宋体" w:cs="宋体"/>
                <w:szCs w:val="21"/>
              </w:rPr>
              <w:t>总要求</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QEO</w:t>
            </w:r>
          </w:p>
          <w:p>
            <w:pPr>
              <w:spacing w:line="280" w:lineRule="exact"/>
              <w:rPr>
                <w:rFonts w:ascii="宋体" w:hAnsi="宋体" w:cs="宋体"/>
                <w:szCs w:val="21"/>
              </w:rPr>
            </w:pPr>
            <w:r>
              <w:rPr>
                <w:rFonts w:hint="eastAsia" w:ascii="宋体" w:hAnsi="宋体" w:cs="宋体"/>
                <w:szCs w:val="21"/>
              </w:rPr>
              <w:t>4.1</w:t>
            </w:r>
          </w:p>
          <w:p>
            <w:pPr>
              <w:spacing w:line="280" w:lineRule="exact"/>
            </w:pPr>
          </w:p>
        </w:tc>
        <w:tc>
          <w:tcPr>
            <w:tcW w:w="10642" w:type="dxa"/>
            <w:vAlign w:val="center"/>
          </w:tcPr>
          <w:p>
            <w:pPr>
              <w:spacing w:line="240" w:lineRule="auto"/>
              <w:rPr>
                <w:rFonts w:ascii="Arial" w:hAnsi="Arial" w:cs="Arial"/>
              </w:rPr>
            </w:pPr>
            <w:r>
              <w:rPr>
                <w:rFonts w:hint="eastAsia" w:ascii="Arial" w:hAnsi="Arial" w:cs="Arial"/>
                <w:bCs/>
              </w:rPr>
              <w:t>九江杜威橡胶科技有限公司</w:t>
            </w:r>
            <w:r>
              <w:rPr>
                <w:rFonts w:hint="eastAsia" w:ascii="Arial" w:hAnsi="Arial" w:cs="Arial"/>
              </w:rPr>
              <w:t>，注册地址：</w:t>
            </w:r>
            <w:r>
              <w:rPr>
                <w:rFonts w:hint="eastAsia" w:ascii="Arial" w:hAnsi="Arial" w:cs="Arial"/>
                <w:bCs/>
              </w:rPr>
              <w:t>江西省九江市彭泽县矶山工业园</w:t>
            </w:r>
            <w:r>
              <w:rPr>
                <w:rFonts w:hint="eastAsia" w:ascii="Arial" w:hAnsi="Arial" w:cs="Arial"/>
              </w:rPr>
              <w:t>。杜威科技已经完全掌握丙胶核心技术和关键生产工艺，产品质量处于国内领先水平，达到国际同类企业产品性能，经市场验证，产品质量已深得用户认可和信赖，完全可以替代进口。公司是我国《聚丙烯酸酯橡胶通用规范及评价方法》即《GB/T 33428-2016》的起草单位，已申请多项发明专利及实用新型专利。 杜威科技致力于持续提供高品质合成橡胶产品及服务，为客户创造最大价值，做科技领先、客户信赖及社会尊重企业。</w:t>
            </w:r>
          </w:p>
          <w:p>
            <w:pPr>
              <w:spacing w:line="240" w:lineRule="auto"/>
              <w:rPr>
                <w:rFonts w:ascii="Arial" w:hAnsi="Arial" w:cs="Arial"/>
              </w:rPr>
            </w:pPr>
            <w:r>
              <w:rPr>
                <w:rFonts w:hint="eastAsia" w:ascii="Arial" w:hAnsi="Arial" w:cs="Arial"/>
              </w:rPr>
              <w:t>管理手册，实施、发布日期：2020年06月10日。</w:t>
            </w:r>
          </w:p>
          <w:p>
            <w:pPr>
              <w:autoSpaceDE w:val="0"/>
              <w:autoSpaceDN w:val="0"/>
              <w:adjustRightInd w:val="0"/>
              <w:spacing w:line="240" w:lineRule="auto"/>
              <w:rPr>
                <w:rFonts w:hint="eastAsia" w:ascii="Arial" w:hAnsi="Arial" w:cs="Arial"/>
              </w:rPr>
            </w:pPr>
            <w:r>
              <w:rPr>
                <w:rFonts w:hint="eastAsia" w:ascii="Arial" w:hAnsi="Arial" w:cs="Arial"/>
              </w:rPr>
              <w:t>认证范围：</w:t>
            </w:r>
          </w:p>
          <w:p>
            <w:pPr>
              <w:autoSpaceDE w:val="0"/>
              <w:autoSpaceDN w:val="0"/>
              <w:adjustRightInd w:val="0"/>
              <w:spacing w:line="240" w:lineRule="auto"/>
              <w:ind w:firstLine="480"/>
              <w:rPr>
                <w:rFonts w:hint="eastAsia" w:ascii="Arial" w:hAnsi="Arial" w:cs="Arial"/>
              </w:rPr>
            </w:pPr>
            <w:r>
              <w:rPr>
                <w:rFonts w:hint="eastAsia" w:ascii="Arial" w:hAnsi="Arial" w:cs="Arial"/>
              </w:rPr>
              <w:t>Q：丙烯酸酯橡胶的生产</w:t>
            </w:r>
          </w:p>
          <w:p>
            <w:pPr>
              <w:autoSpaceDE w:val="0"/>
              <w:autoSpaceDN w:val="0"/>
              <w:adjustRightInd w:val="0"/>
              <w:spacing w:line="240" w:lineRule="auto"/>
              <w:ind w:firstLine="480"/>
              <w:rPr>
                <w:rFonts w:hint="eastAsia" w:ascii="Arial" w:hAnsi="Arial" w:cs="Arial"/>
              </w:rPr>
            </w:pPr>
            <w:r>
              <w:rPr>
                <w:rFonts w:hint="eastAsia" w:ascii="Arial" w:hAnsi="Arial" w:cs="Arial"/>
              </w:rPr>
              <w:t>O：丙烯酸酯橡胶的生产及其所涉及的职业健康安全管理活动</w:t>
            </w:r>
          </w:p>
          <w:p>
            <w:pPr>
              <w:autoSpaceDE w:val="0"/>
              <w:autoSpaceDN w:val="0"/>
              <w:adjustRightInd w:val="0"/>
              <w:spacing w:line="240" w:lineRule="auto"/>
              <w:ind w:firstLine="480"/>
              <w:rPr>
                <w:rFonts w:hint="eastAsia" w:ascii="Arial" w:hAnsi="Arial" w:cs="Arial"/>
              </w:rPr>
            </w:pPr>
            <w:r>
              <w:rPr>
                <w:rFonts w:hint="eastAsia" w:ascii="Arial" w:hAnsi="Arial" w:cs="Arial"/>
              </w:rPr>
              <w:t>E：丙烯酸酯橡胶的生产所涉及的环境管理</w:t>
            </w:r>
          </w:p>
          <w:p>
            <w:pPr>
              <w:autoSpaceDE w:val="0"/>
              <w:autoSpaceDN w:val="0"/>
              <w:adjustRightInd w:val="0"/>
              <w:spacing w:line="240" w:lineRule="auto"/>
              <w:ind w:firstLine="480"/>
              <w:rPr>
                <w:rFonts w:ascii="宋体" w:hAnsi="宋体" w:cs="宋体"/>
                <w:szCs w:val="21"/>
              </w:rPr>
            </w:pPr>
            <w:r>
              <w:rPr>
                <w:rFonts w:hint="eastAsia" w:ascii="宋体" w:hAnsi="宋体" w:cs="宋体"/>
                <w:szCs w:val="21"/>
              </w:rPr>
              <w:t>法律法规：公司地处</w:t>
            </w:r>
            <w:r>
              <w:rPr>
                <w:rFonts w:hint="eastAsia" w:ascii="Arial" w:hAnsi="Arial" w:cs="Arial"/>
                <w:bCs/>
              </w:rPr>
              <w:t>江西省九江市彭泽县</w:t>
            </w:r>
            <w:r>
              <w:rPr>
                <w:rFonts w:hint="eastAsia" w:ascii="宋体" w:hAnsi="宋体" w:cs="宋体"/>
                <w:szCs w:val="21"/>
              </w:rPr>
              <w:t>，在环境和职业健康安全方面符合国家</w:t>
            </w:r>
            <w:r>
              <w:rPr>
                <w:rFonts w:hint="eastAsia" w:ascii="宋体" w:hAnsi="宋体" w:cs="宋体"/>
                <w:szCs w:val="21"/>
                <w:lang w:eastAsia="zh-CN"/>
              </w:rPr>
              <w:t>、</w:t>
            </w:r>
            <w:r>
              <w:rPr>
                <w:rFonts w:hint="eastAsia" w:ascii="宋体" w:hAnsi="宋体" w:cs="宋体"/>
                <w:szCs w:val="21"/>
              </w:rPr>
              <w:t>本省</w:t>
            </w:r>
            <w:r>
              <w:rPr>
                <w:rFonts w:hint="eastAsia" w:ascii="宋体" w:hAnsi="宋体" w:cs="宋体"/>
                <w:szCs w:val="21"/>
                <w:lang w:eastAsia="zh-CN"/>
              </w:rPr>
              <w:t>、</w:t>
            </w:r>
            <w:r>
              <w:rPr>
                <w:rFonts w:hint="eastAsia" w:ascii="宋体" w:hAnsi="宋体" w:cs="宋体"/>
                <w:szCs w:val="21"/>
                <w:lang w:val="en-US" w:eastAsia="zh-CN"/>
              </w:rPr>
              <w:t>地方</w:t>
            </w:r>
            <w:r>
              <w:rPr>
                <w:rFonts w:hint="eastAsia" w:ascii="宋体" w:hAnsi="宋体" w:cs="宋体"/>
                <w:szCs w:val="21"/>
              </w:rPr>
              <w:t>的环境和安全法律法规要求。</w:t>
            </w:r>
          </w:p>
          <w:p>
            <w:pPr>
              <w:autoSpaceDE w:val="0"/>
              <w:autoSpaceDN w:val="0"/>
              <w:adjustRightInd w:val="0"/>
              <w:spacing w:line="240" w:lineRule="auto"/>
              <w:ind w:firstLine="480"/>
              <w:rPr>
                <w:rFonts w:ascii="宋体" w:hAnsi="宋体" w:cs="宋体"/>
                <w:szCs w:val="21"/>
              </w:rPr>
            </w:pPr>
            <w:r>
              <w:rPr>
                <w:rFonts w:hint="eastAsia" w:ascii="宋体" w:hAnsi="宋体" w:cs="宋体"/>
                <w:szCs w:val="21"/>
                <w:lang w:val="en-US" w:eastAsia="zh-CN"/>
              </w:rPr>
              <w:t>与总经理沟通，</w:t>
            </w:r>
            <w:r>
              <w:rPr>
                <w:rFonts w:hint="eastAsia" w:ascii="宋体" w:hAnsi="宋体" w:cs="宋体"/>
                <w:szCs w:val="21"/>
              </w:rPr>
              <w:t>公司领导层确定外部和内部与公司的宗旨、战略方向有关、影响质量管理体系实现预期结果的能力的因素。外部因素考虑：国际、国内、地区和当地的各种法律法规、技术、竞争、文化、社会、经济和自然环境方面（不管是国际、国家、地区或本地）等因素；内部因素考虑：公司的价值观、文化、知识和绩效等因素</w:t>
            </w:r>
            <w:r>
              <w:rPr>
                <w:rFonts w:hint="eastAsia" w:ascii="宋体" w:hAnsi="宋体" w:cs="宋体"/>
                <w:szCs w:val="21"/>
                <w:lang w:eastAsia="zh-CN"/>
              </w:rPr>
              <w:t>。</w:t>
            </w:r>
            <w:r>
              <w:rPr>
                <w:rFonts w:hint="eastAsia" w:ascii="宋体" w:hAnsi="宋体" w:cs="宋体"/>
                <w:szCs w:val="21"/>
              </w:rPr>
              <w:t xml:space="preserve"> 总经理负责组织对确定的内部和外部因素的相关信息进行监视和评审，以确保质量、管理体系与公司的战略方向一致，并实现其预期的结果。</w:t>
            </w:r>
          </w:p>
        </w:tc>
        <w:tc>
          <w:tcPr>
            <w:tcW w:w="895" w:type="dxa"/>
          </w:tcPr>
          <w:p>
            <w:pPr>
              <w:rPr>
                <w:rFonts w:ascii="宋体" w:hAnsi="宋体" w:cs="宋体"/>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160" w:type="dxa"/>
          </w:tcPr>
          <w:p>
            <w:pPr>
              <w:spacing w:line="280" w:lineRule="exact"/>
              <w:rPr>
                <w:rFonts w:ascii="宋体" w:hAnsi="宋体" w:cs="宋体"/>
                <w:szCs w:val="21"/>
              </w:rPr>
            </w:pPr>
            <w:r>
              <w:rPr>
                <w:rFonts w:hint="eastAsia" w:ascii="宋体" w:hAnsi="宋体" w:cs="宋体"/>
                <w:szCs w:val="21"/>
              </w:rPr>
              <w:t>理解相关方的需求和期望</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QEO4.2</w:t>
            </w:r>
          </w:p>
          <w:p>
            <w:pPr>
              <w:spacing w:line="280" w:lineRule="exact"/>
            </w:pPr>
          </w:p>
        </w:tc>
        <w:tc>
          <w:tcPr>
            <w:tcW w:w="10642" w:type="dxa"/>
            <w:vAlign w:val="center"/>
          </w:tcPr>
          <w:p>
            <w:pPr>
              <w:autoSpaceDE w:val="0"/>
              <w:autoSpaceDN w:val="0"/>
              <w:adjustRightInd w:val="0"/>
              <w:spacing w:line="240" w:lineRule="auto"/>
              <w:rPr>
                <w:rFonts w:ascii="宋体" w:hAnsi="宋体" w:cs="宋体"/>
                <w:szCs w:val="21"/>
              </w:rPr>
            </w:pPr>
            <w:r>
              <w:rPr>
                <w:rFonts w:hint="eastAsia" w:ascii="宋体" w:hAnsi="宋体" w:cs="宋体"/>
                <w:szCs w:val="21"/>
              </w:rPr>
              <w:t>总经理及管理层在考虑相关方对公司提供符合顾客要求和适用法律法规要求的产品和服务的能力产生影响或潜在影响时，结合公司的实际情况，确定与质量/环境/职业健康安全管理体系有关的相关方，并确定其要求。公司</w:t>
            </w:r>
            <w:r>
              <w:rPr>
                <w:rFonts w:hint="eastAsia" w:ascii="宋体" w:hAnsi="宋体" w:cs="宋体"/>
                <w:szCs w:val="21"/>
                <w:lang w:val="en-US" w:eastAsia="zh-CN"/>
              </w:rPr>
              <w:t>按照管理手册要求对相关方的需求和期望进行管理</w:t>
            </w:r>
            <w:r>
              <w:rPr>
                <w:rFonts w:hint="eastAsia" w:ascii="宋体" w:hAnsi="宋体" w:cs="宋体"/>
                <w:szCs w:val="21"/>
              </w:rPr>
              <w:t xml:space="preserve"> ，以理解相关方的需求和期望以便帮助本公司更好的建立清晰的方针和目标，做到目的明确；由于相关方对组织持续提供符合顾客要求和适用法律法规要求的产品和服务的能力产生影响或潜在影响，因此，公司确定了：</w:t>
            </w:r>
          </w:p>
          <w:p>
            <w:pPr>
              <w:autoSpaceDE w:val="0"/>
              <w:autoSpaceDN w:val="0"/>
              <w:adjustRightInd w:val="0"/>
              <w:spacing w:line="240" w:lineRule="auto"/>
              <w:rPr>
                <w:rFonts w:ascii="宋体" w:hAnsi="宋体" w:cs="宋体"/>
                <w:szCs w:val="21"/>
              </w:rPr>
            </w:pPr>
            <w:bookmarkStart w:id="0" w:name="_Toc475019994"/>
            <w:bookmarkStart w:id="1" w:name="_Toc475020125"/>
            <w:r>
              <w:rPr>
                <w:rFonts w:hint="eastAsia" w:ascii="宋体" w:hAnsi="宋体" w:cs="宋体"/>
                <w:szCs w:val="21"/>
              </w:rPr>
              <w:t>与质量/环境/职业健康安全管理体系有关的相关方</w:t>
            </w:r>
            <w:bookmarkEnd w:id="0"/>
            <w:bookmarkEnd w:id="1"/>
            <w:r>
              <w:rPr>
                <w:rFonts w:hint="eastAsia" w:ascii="宋体" w:hAnsi="宋体" w:cs="宋体"/>
                <w:szCs w:val="21"/>
              </w:rPr>
              <w:t>；</w:t>
            </w:r>
          </w:p>
          <w:p>
            <w:pPr>
              <w:autoSpaceDE w:val="0"/>
              <w:autoSpaceDN w:val="0"/>
              <w:adjustRightInd w:val="0"/>
              <w:spacing w:line="240" w:lineRule="auto"/>
              <w:rPr>
                <w:rFonts w:ascii="宋体" w:hAnsi="宋体" w:cs="宋体"/>
                <w:szCs w:val="21"/>
              </w:rPr>
            </w:pPr>
            <w:r>
              <w:rPr>
                <w:rFonts w:hint="eastAsia" w:ascii="宋体" w:hAnsi="宋体" w:cs="宋体"/>
                <w:szCs w:val="21"/>
              </w:rPr>
              <w:t>公司的相关方包括：顾客、员工、银行、外部供应商、雇员及其他为组织工作者、法律法规及监管机关、非政府组织等。</w:t>
            </w:r>
          </w:p>
          <w:p>
            <w:pPr>
              <w:autoSpaceDE w:val="0"/>
              <w:autoSpaceDN w:val="0"/>
              <w:adjustRightInd w:val="0"/>
              <w:spacing w:line="240" w:lineRule="auto"/>
            </w:pPr>
            <w:r>
              <w:rPr>
                <w:rFonts w:hint="eastAsia" w:ascii="宋体" w:hAnsi="宋体" w:cs="宋体"/>
                <w:szCs w:val="21"/>
              </w:rPr>
              <w:t>公司对这些相关方及其要求的相关信息进行监视和评审，理解和持续满足相关方的需求和期望。</w:t>
            </w:r>
          </w:p>
        </w:tc>
        <w:tc>
          <w:tcPr>
            <w:tcW w:w="8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160" w:type="dxa"/>
          </w:tcPr>
          <w:p>
            <w:pPr>
              <w:spacing w:line="280" w:lineRule="exact"/>
              <w:rPr>
                <w:rFonts w:ascii="宋体" w:hAnsi="宋体" w:cs="宋体"/>
                <w:szCs w:val="21"/>
              </w:rPr>
            </w:pPr>
            <w:r>
              <w:rPr>
                <w:rFonts w:hint="eastAsia" w:ascii="宋体" w:hAnsi="宋体" w:cs="宋体"/>
                <w:szCs w:val="21"/>
              </w:rPr>
              <w:t>确定管理体系的范围</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QEO4.3</w:t>
            </w:r>
          </w:p>
          <w:p>
            <w:pPr>
              <w:spacing w:line="280" w:lineRule="exact"/>
            </w:pPr>
          </w:p>
        </w:tc>
        <w:tc>
          <w:tcPr>
            <w:tcW w:w="10642" w:type="dxa"/>
            <w:vAlign w:val="center"/>
          </w:tcPr>
          <w:p>
            <w:pPr>
              <w:spacing w:line="240" w:lineRule="auto"/>
              <w:jc w:val="left"/>
              <w:rPr>
                <w:rFonts w:ascii="宋体" w:hAnsi="宋体" w:cs="宋体"/>
                <w:szCs w:val="21"/>
              </w:rPr>
            </w:pPr>
            <w:r>
              <w:rPr>
                <w:rFonts w:hint="eastAsia" w:ascii="宋体" w:hAnsi="宋体" w:cs="宋体"/>
                <w:szCs w:val="21"/>
              </w:rPr>
              <w:t>公司管理体系范围为：</w:t>
            </w:r>
          </w:p>
          <w:p>
            <w:pPr>
              <w:spacing w:line="240" w:lineRule="auto"/>
              <w:rPr>
                <w:rFonts w:hint="eastAsia" w:ascii="Arial" w:hAnsi="Arial" w:cs="Arial"/>
              </w:rPr>
            </w:pPr>
            <w:r>
              <w:rPr>
                <w:rFonts w:hint="eastAsia" w:ascii="Arial" w:hAnsi="Arial" w:cs="Arial"/>
              </w:rPr>
              <w:t>Q：丙烯酸酯橡胶的生产</w:t>
            </w:r>
          </w:p>
          <w:p>
            <w:pPr>
              <w:spacing w:line="240" w:lineRule="auto"/>
              <w:rPr>
                <w:rFonts w:hint="eastAsia" w:ascii="Arial" w:hAnsi="Arial" w:cs="Arial"/>
              </w:rPr>
            </w:pPr>
            <w:r>
              <w:rPr>
                <w:rFonts w:hint="eastAsia" w:ascii="Arial" w:hAnsi="Arial" w:cs="Arial"/>
              </w:rPr>
              <w:t>O：丙烯酸酯橡胶的生产及其所涉及的职业健康安全管理活动</w:t>
            </w:r>
          </w:p>
          <w:p>
            <w:pPr>
              <w:spacing w:line="240" w:lineRule="auto"/>
              <w:rPr>
                <w:rFonts w:hint="eastAsia" w:ascii="Arial" w:hAnsi="Arial" w:cs="Arial"/>
              </w:rPr>
            </w:pPr>
            <w:r>
              <w:rPr>
                <w:rFonts w:hint="eastAsia" w:ascii="Arial" w:hAnsi="Arial" w:cs="Arial"/>
              </w:rPr>
              <w:t>E：丙烯酸酯橡胶的生产所涉及的环境管理</w:t>
            </w:r>
          </w:p>
          <w:p>
            <w:pPr>
              <w:spacing w:line="240" w:lineRule="auto"/>
              <w:rPr>
                <w:sz w:val="20"/>
              </w:rPr>
            </w:pPr>
            <w:r>
              <w:rPr>
                <w:rFonts w:hint="eastAsia"/>
                <w:sz w:val="20"/>
              </w:rPr>
              <w:t>本手册覆盖ISO9001：2015/ISO14001:2015/ISO45001：2018标准的全部标准内容。本公司丙烯酸酯橡胶的生产及其所涉及的相关管理活动均参照国家、行业标准及顾客工程要求进行生产，GB/T19001-2016/ISO 9001：2015标准所有条款均适用。</w:t>
            </w:r>
          </w:p>
        </w:tc>
        <w:tc>
          <w:tcPr>
            <w:tcW w:w="8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管理体系及其过程</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QEO4.4</w:t>
            </w:r>
          </w:p>
          <w:p>
            <w:pPr>
              <w:spacing w:line="280" w:lineRule="exact"/>
            </w:pPr>
          </w:p>
        </w:tc>
        <w:tc>
          <w:tcPr>
            <w:tcW w:w="10642" w:type="dxa"/>
            <w:vAlign w:val="center"/>
          </w:tcPr>
          <w:p>
            <w:pPr>
              <w:spacing w:line="240" w:lineRule="auto"/>
              <w:ind w:firstLine="420" w:firstLineChars="200"/>
              <w:rPr>
                <w:rFonts w:ascii="宋体" w:hAnsi="宋体" w:cs="宋体"/>
                <w:szCs w:val="21"/>
              </w:rPr>
            </w:pPr>
            <w:r>
              <w:rPr>
                <w:rFonts w:hint="eastAsia" w:ascii="宋体" w:hAnsi="宋体" w:cs="宋体"/>
                <w:szCs w:val="21"/>
              </w:rPr>
              <w:t>该公司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对管理目标完成情况进行统计分析，出示20</w:t>
            </w:r>
            <w:r>
              <w:rPr>
                <w:rFonts w:ascii="宋体" w:hAnsi="宋体" w:cs="宋体"/>
                <w:szCs w:val="21"/>
              </w:rPr>
              <w:t>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eastAsia="zh-CN"/>
              </w:rPr>
              <w:t>～</w:t>
            </w:r>
            <w:r>
              <w:rPr>
                <w:rFonts w:ascii="宋体" w:hAnsi="宋体" w:cs="宋体"/>
                <w:szCs w:val="21"/>
              </w:rPr>
              <w:t>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11</w:t>
            </w:r>
            <w:r>
              <w:rPr>
                <w:rFonts w:hint="eastAsia" w:ascii="宋体" w:hAnsi="宋体" w:cs="宋体"/>
                <w:szCs w:val="21"/>
              </w:rPr>
              <w:t>月管理目标分解及完成情况记录。</w:t>
            </w:r>
          </w:p>
          <w:p>
            <w:pPr>
              <w:spacing w:line="240" w:lineRule="auto"/>
              <w:ind w:firstLine="420" w:firstLineChars="200"/>
              <w:rPr>
                <w:rFonts w:ascii="宋体" w:hAnsi="宋体" w:cs="宋体"/>
                <w:szCs w:val="21"/>
              </w:rPr>
            </w:pPr>
            <w:r>
              <w:rPr>
                <w:rFonts w:hint="eastAsia" w:ascii="宋体" w:hAnsi="宋体" w:cs="宋体"/>
                <w:szCs w:val="21"/>
              </w:rPr>
              <w:t>与负责人交流：部门确定了满足与管理体系有关的客户及相关方的要求。</w:t>
            </w:r>
          </w:p>
          <w:p>
            <w:pPr>
              <w:spacing w:line="240" w:lineRule="auto"/>
              <w:ind w:firstLine="420" w:firstLineChars="200"/>
            </w:pPr>
            <w:r>
              <w:rPr>
                <w:rFonts w:hint="eastAsia" w:ascii="宋体" w:hAnsi="宋体" w:cs="宋体"/>
                <w:szCs w:val="21"/>
              </w:rPr>
              <w:t>为能在公司范围内更好的应用质量/环境/职业健康安全管理体系及其过程方法，编制</w:t>
            </w:r>
            <w:r>
              <w:rPr>
                <w:rFonts w:hint="eastAsia" w:ascii="宋体" w:hAnsi="宋体" w:cs="宋体"/>
                <w:szCs w:val="21"/>
                <w:lang w:val="en-US" w:eastAsia="zh-CN"/>
              </w:rPr>
              <w:t>有</w:t>
            </w:r>
            <w:r>
              <w:rPr>
                <w:rFonts w:hint="eastAsia" w:ascii="宋体" w:hAnsi="宋体" w:cs="宋体"/>
                <w:szCs w:val="21"/>
              </w:rPr>
              <w:t>《管理手册》，作为公司质量管理的纲领性文件；编制</w:t>
            </w:r>
            <w:r>
              <w:rPr>
                <w:rFonts w:hint="eastAsia" w:ascii="宋体" w:hAnsi="宋体" w:cs="宋体"/>
                <w:szCs w:val="21"/>
                <w:lang w:val="en-US" w:eastAsia="zh-CN"/>
              </w:rPr>
              <w:t>有</w:t>
            </w:r>
            <w:r>
              <w:rPr>
                <w:rFonts w:hint="eastAsia" w:ascii="宋体" w:hAnsi="宋体" w:cs="宋体"/>
                <w:szCs w:val="21"/>
              </w:rPr>
              <w:t>《程序文件》，说明本公司内部质量/环境/职业健康安全体系运行的各过程及其之间的顺序和相互作用；编制各类支持性文件及记录表格等作为证明过程运行的证据。</w:t>
            </w:r>
          </w:p>
        </w:tc>
        <w:tc>
          <w:tcPr>
            <w:tcW w:w="8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spacing w:line="280" w:lineRule="exact"/>
              <w:rPr>
                <w:rFonts w:ascii="宋体" w:hAnsi="宋体" w:cs="宋体"/>
                <w:szCs w:val="21"/>
              </w:rPr>
            </w:pPr>
            <w:r>
              <w:rPr>
                <w:rFonts w:hint="eastAsia" w:ascii="宋体" w:hAnsi="宋体" w:cs="宋体"/>
                <w:szCs w:val="21"/>
              </w:rPr>
              <w:t>领导作用与承诺</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QEO</w:t>
            </w:r>
          </w:p>
          <w:p>
            <w:pPr>
              <w:spacing w:line="280" w:lineRule="exact"/>
              <w:rPr>
                <w:rFonts w:ascii="宋体" w:hAnsi="宋体" w:cs="宋体"/>
                <w:szCs w:val="21"/>
              </w:rPr>
            </w:pPr>
            <w:r>
              <w:rPr>
                <w:rFonts w:hint="eastAsia" w:ascii="宋体" w:hAnsi="宋体" w:cs="宋体"/>
                <w:szCs w:val="21"/>
              </w:rPr>
              <w:t>5.1</w:t>
            </w:r>
          </w:p>
          <w:p>
            <w:pPr>
              <w:spacing w:line="280" w:lineRule="exact"/>
            </w:pPr>
          </w:p>
        </w:tc>
        <w:tc>
          <w:tcPr>
            <w:tcW w:w="10642" w:type="dxa"/>
            <w:vAlign w:val="center"/>
          </w:tcPr>
          <w:p>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公司</w:t>
            </w:r>
            <w:r>
              <w:rPr>
                <w:rFonts w:hint="eastAsia" w:ascii="宋体" w:hAnsi="宋体" w:eastAsia="宋体" w:cs="宋体"/>
                <w:szCs w:val="21"/>
                <w:lang w:val="en-US" w:eastAsia="zh-CN"/>
              </w:rPr>
              <w:t>最高管理者</w:t>
            </w:r>
            <w:r>
              <w:rPr>
                <w:rFonts w:hint="eastAsia" w:ascii="宋体" w:hAnsi="宋体" w:eastAsia="宋体" w:cs="宋体"/>
                <w:szCs w:val="21"/>
              </w:rPr>
              <w:t>介绍主要承诺有：</w:t>
            </w:r>
          </w:p>
          <w:p>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a）在职责方面，对管理体系的有效性承担责任；</w:t>
            </w:r>
          </w:p>
          <w:p>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b）制定管理体系的方针和目标,并与组织环境和战略方向相一致；</w:t>
            </w:r>
          </w:p>
          <w:p>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c）将管理体系要求融入公司的业务过程；</w:t>
            </w:r>
          </w:p>
          <w:p>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d）促进管理者在体系策划、运行中使用过程方法和基于风险的思维；</w:t>
            </w:r>
          </w:p>
          <w:p>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e）识别公司管理体系所需的资源及其更新需要并配备这些资源；</w:t>
            </w:r>
          </w:p>
          <w:p>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f）在公司内进行沟通，确保全员理解有效的管理和符合管理体系要求的重要性，积极主动参与和配合，通过考核、培训、分享知识、奖励制度，促使、指导和支持员工努力提高其素质，提高管理体系的有效性和管理绩效；</w:t>
            </w:r>
          </w:p>
          <w:p>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g）实施各项业务过程，实现公司目标和质量管理体系的预期结果；</w:t>
            </w:r>
          </w:p>
          <w:p>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h）推动改进；</w:t>
            </w:r>
          </w:p>
          <w:p>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i）明确公司内部职责分工，支持其他管理者履行其相关领域的职责。</w:t>
            </w:r>
          </w:p>
          <w:p>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spacing w:line="240" w:lineRule="auto"/>
            </w:pPr>
            <w:r>
              <w:rPr>
                <w:rFonts w:hint="eastAsia" w:ascii="宋体" w:hAnsi="宋体" w:eastAsia="宋体" w:cs="宋体"/>
                <w:szCs w:val="21"/>
              </w:rPr>
              <w:t>承诺基本实现，没有违反的情况发生。</w:t>
            </w:r>
          </w:p>
        </w:tc>
        <w:tc>
          <w:tcPr>
            <w:tcW w:w="8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方针</w:t>
            </w:r>
          </w:p>
          <w:p>
            <w:pPr>
              <w:spacing w:line="280" w:lineRule="exact"/>
              <w:rPr>
                <w:rFonts w:ascii="宋体" w:hAnsi="宋体" w:cs="宋体"/>
                <w:szCs w:val="21"/>
              </w:rPr>
            </w:pPr>
            <w:r>
              <w:rPr>
                <w:rFonts w:hint="eastAsia" w:ascii="宋体" w:hAnsi="宋体" w:cs="宋体"/>
                <w:szCs w:val="21"/>
              </w:rPr>
              <w:t>制定方针</w:t>
            </w:r>
          </w:p>
          <w:p>
            <w:pPr>
              <w:spacing w:line="280" w:lineRule="exact"/>
            </w:pPr>
            <w:r>
              <w:rPr>
                <w:rFonts w:hint="eastAsia" w:ascii="宋体" w:hAnsi="宋体" w:cs="宋体"/>
                <w:szCs w:val="21"/>
              </w:rPr>
              <w:t>沟通方针</w:t>
            </w:r>
          </w:p>
        </w:tc>
        <w:tc>
          <w:tcPr>
            <w:tcW w:w="1012" w:type="dxa"/>
          </w:tcPr>
          <w:p>
            <w:pPr>
              <w:spacing w:line="280" w:lineRule="exact"/>
              <w:rPr>
                <w:rFonts w:ascii="宋体" w:hAnsi="宋体" w:cs="宋体"/>
                <w:szCs w:val="21"/>
              </w:rPr>
            </w:pPr>
            <w:r>
              <w:rPr>
                <w:rFonts w:hint="eastAsia" w:ascii="宋体" w:hAnsi="宋体" w:cs="宋体"/>
                <w:szCs w:val="21"/>
              </w:rPr>
              <w:t>QEO5.2</w:t>
            </w:r>
          </w:p>
          <w:p>
            <w:pPr>
              <w:snapToGrid w:val="0"/>
              <w:spacing w:line="280" w:lineRule="exact"/>
              <w:rPr>
                <w:szCs w:val="21"/>
              </w:rPr>
            </w:pPr>
          </w:p>
          <w:p>
            <w:pPr>
              <w:spacing w:line="280" w:lineRule="exact"/>
              <w:rPr>
                <w:rFonts w:ascii="宋体" w:hAnsi="宋体" w:cs="宋体"/>
                <w:szCs w:val="21"/>
              </w:rPr>
            </w:pPr>
          </w:p>
          <w:p>
            <w:pPr>
              <w:spacing w:line="280" w:lineRule="exact"/>
            </w:pPr>
          </w:p>
        </w:tc>
        <w:tc>
          <w:tcPr>
            <w:tcW w:w="10642" w:type="dxa"/>
            <w:vAlign w:val="center"/>
          </w:tcPr>
          <w:p>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该公司质量、环境、职业健康安全方针：</w:t>
            </w:r>
          </w:p>
          <w:p>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 xml:space="preserve">质量至上、持续创新、诚实守信、顾客至上 </w:t>
            </w:r>
          </w:p>
          <w:p>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预防为主，降低风险；遵章守法，减污降耗</w:t>
            </w:r>
          </w:p>
          <w:p>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公司以质量、环境、职业健康安全标准为基础，结合公司实际特制定管理方针。与总经理进行交谈，总经理</w:t>
            </w:r>
            <w:r>
              <w:rPr>
                <w:rFonts w:hint="eastAsia" w:ascii="宋体" w:hAnsi="宋体" w:cs="宋体"/>
                <w:szCs w:val="21"/>
                <w:lang w:eastAsia="zh-CN"/>
              </w:rPr>
              <w:t>周陌夫</w:t>
            </w:r>
            <w:r>
              <w:rPr>
                <w:rFonts w:hint="eastAsia" w:ascii="宋体" w:hAnsi="宋体" w:eastAsia="宋体" w:cs="宋体"/>
                <w:szCs w:val="21"/>
              </w:rPr>
              <w:t>对方针内涵的理解较深刻。方针能为制定目标提供框架，方针基本符合标准的要求。</w:t>
            </w:r>
          </w:p>
          <w:p>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总经理用会议、文件等手段保证管理方针为全体员工理解并落实到工作中。总经理说管理评审时对方针的持续适宜性进行了评审，有评审记录。</w:t>
            </w:r>
          </w:p>
          <w:p>
            <w:pPr>
              <w:spacing w:line="240" w:lineRule="auto"/>
              <w:ind w:firstLine="420" w:firstLineChars="200"/>
              <w:rPr>
                <w:rFonts w:ascii="宋体" w:hAnsi="宋体" w:cs="宋体"/>
                <w:szCs w:val="21"/>
              </w:rPr>
            </w:pPr>
            <w:r>
              <w:rPr>
                <w:rFonts w:hint="eastAsia" w:ascii="宋体" w:hAnsi="宋体" w:eastAsia="宋体" w:cs="宋体"/>
                <w:szCs w:val="21"/>
              </w:rPr>
              <w:t>以上管理方针通过文件、培训等形式将公司管理方针传达给所有为公司工作或代表公司的人员，相关方也可通过综合部获取公司管理方针。</w:t>
            </w:r>
          </w:p>
        </w:tc>
        <w:tc>
          <w:tcPr>
            <w:tcW w:w="8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1012" w:type="dxa"/>
          </w:tcPr>
          <w:p>
            <w:pPr>
              <w:spacing w:line="280" w:lineRule="exact"/>
              <w:rPr>
                <w:rFonts w:ascii="宋体" w:cs="宋体"/>
                <w:szCs w:val="21"/>
              </w:rPr>
            </w:pPr>
            <w:r>
              <w:rPr>
                <w:rFonts w:ascii="宋体" w:cs="宋体"/>
                <w:szCs w:val="21"/>
              </w:rPr>
              <w:t>QE</w:t>
            </w:r>
            <w:r>
              <w:rPr>
                <w:rFonts w:hint="eastAsia" w:ascii="宋体" w:cs="宋体"/>
                <w:szCs w:val="21"/>
              </w:rPr>
              <w:t>O</w:t>
            </w:r>
            <w:r>
              <w:rPr>
                <w:rFonts w:ascii="宋体" w:cs="宋体"/>
                <w:szCs w:val="21"/>
              </w:rPr>
              <w:t>5.3</w:t>
            </w:r>
          </w:p>
          <w:p>
            <w:pPr>
              <w:spacing w:line="280" w:lineRule="exact"/>
            </w:pPr>
          </w:p>
        </w:tc>
        <w:tc>
          <w:tcPr>
            <w:tcW w:w="10642" w:type="dxa"/>
            <w:vAlign w:val="center"/>
          </w:tcPr>
          <w:p>
            <w:pPr>
              <w:spacing w:line="240" w:lineRule="auto"/>
              <w:ind w:firstLine="420" w:firstLineChars="200"/>
            </w:pPr>
            <w:r>
              <w:rPr>
                <w:rFonts w:hint="eastAsia"/>
              </w:rPr>
              <w:t>确定了部门、各岗位人员职责、权限和相互关系，并在公司内对各级员工进行了必要的传达。对从事与服务有关的管理、执行和验证人员规定其职责、权限及其相互关系，以实现公司管理方针和管理目标。建立、实施和保持公司管理体系所需的过程，公司任命</w:t>
            </w:r>
            <w:r>
              <w:rPr>
                <w:rFonts w:hint="eastAsia"/>
                <w:lang w:val="en-US" w:eastAsia="zh-CN"/>
              </w:rPr>
              <w:t>周陌夫</w:t>
            </w:r>
            <w:r>
              <w:rPr>
                <w:rFonts w:hint="eastAsia"/>
              </w:rPr>
              <w:t>为管理体系的管理者代表。其职责和权限规定如下：</w:t>
            </w:r>
          </w:p>
          <w:p>
            <w:pPr>
              <w:spacing w:line="240" w:lineRule="auto"/>
              <w:ind w:firstLine="420" w:firstLineChars="200"/>
              <w:rPr>
                <w:rFonts w:hint="eastAsia"/>
              </w:rPr>
            </w:pPr>
            <w:r>
              <w:rPr>
                <w:rFonts w:hint="eastAsia"/>
              </w:rPr>
              <w:t>确保质量/环境和职业健康安全管理体系的建立、实施和保持；向总经理报告质量/环境和职业健康安全管理体系的业绩和任何改进的需求；采取适当措施，在整个组织内提高顾客要求的意识得到有效落实；负责质量/环境和职业健康安全管理体系的有关事宜与外部联络，协调内部体系的一切问题；确保管理体系相互协调、完整。</w:t>
            </w:r>
          </w:p>
          <w:p>
            <w:pPr>
              <w:spacing w:line="240" w:lineRule="auto"/>
              <w:ind w:firstLine="420" w:firstLineChars="200"/>
              <w:rPr>
                <w:bCs w:val="0"/>
                <w:spacing w:val="0"/>
              </w:rPr>
            </w:pPr>
            <w:r>
              <w:rPr>
                <w:rFonts w:hint="eastAsia"/>
              </w:rPr>
              <w:t>询问管代</w:t>
            </w:r>
            <w:r>
              <w:rPr>
                <w:rFonts w:hint="eastAsia"/>
                <w:lang w:val="en-US" w:eastAsia="zh-CN"/>
              </w:rPr>
              <w:t>周陌夫</w:t>
            </w:r>
            <w:r>
              <w:rPr>
                <w:rFonts w:hint="eastAsia"/>
              </w:rPr>
              <w:t>职责回答正确。</w:t>
            </w:r>
          </w:p>
        </w:tc>
        <w:tc>
          <w:tcPr>
            <w:tcW w:w="8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trPr>
        <w:tc>
          <w:tcPr>
            <w:tcW w:w="2160" w:type="dxa"/>
            <w:vAlign w:val="center"/>
          </w:tcPr>
          <w:p>
            <w:pPr>
              <w:rPr>
                <w:rFonts w:hint="default" w:ascii="Times New Roman" w:hAnsi="Times New Roman" w:eastAsia="宋体" w:cs="Times New Roman"/>
                <w:kern w:val="2"/>
                <w:sz w:val="21"/>
                <w:szCs w:val="21"/>
                <w:lang w:val="en-US" w:eastAsia="zh-CN" w:bidi="ar-SA"/>
              </w:rPr>
            </w:pPr>
            <w:r>
              <w:rPr>
                <w:rFonts w:hint="eastAsia"/>
                <w:szCs w:val="21"/>
                <w:lang w:val="en-US" w:eastAsia="zh-CN"/>
              </w:rPr>
              <w:t>工作人员参与和协商</w:t>
            </w:r>
          </w:p>
        </w:tc>
        <w:tc>
          <w:tcPr>
            <w:tcW w:w="1012" w:type="dxa"/>
            <w:vAlign w:val="center"/>
          </w:tcPr>
          <w:p>
            <w:pPr>
              <w:rPr>
                <w:rFonts w:ascii="Times New Roman" w:hAnsi="Times New Roman" w:eastAsia="宋体" w:cs="Times New Roman"/>
                <w:kern w:val="2"/>
                <w:sz w:val="21"/>
                <w:szCs w:val="21"/>
                <w:lang w:val="en-US" w:eastAsia="zh-CN" w:bidi="ar-SA"/>
              </w:rPr>
            </w:pPr>
            <w:r>
              <w:rPr>
                <w:rFonts w:hint="eastAsia"/>
                <w:szCs w:val="21"/>
              </w:rPr>
              <w:t>O</w:t>
            </w:r>
            <w:r>
              <w:rPr>
                <w:szCs w:val="21"/>
              </w:rPr>
              <w:t>5.4</w:t>
            </w:r>
          </w:p>
        </w:tc>
        <w:tc>
          <w:tcPr>
            <w:tcW w:w="10642" w:type="dxa"/>
            <w:vAlign w:val="center"/>
          </w:tcPr>
          <w:p>
            <w:pPr>
              <w:spacing w:line="240" w:lineRule="auto"/>
              <w:ind w:firstLine="420" w:firstLineChars="200"/>
              <w:rPr>
                <w:szCs w:val="21"/>
              </w:rPr>
            </w:pPr>
            <w:r>
              <w:rPr>
                <w:rFonts w:hint="eastAsia"/>
                <w:szCs w:val="21"/>
              </w:rPr>
              <w:t xml:space="preserve">为协调、沟通公司的职业健康安全事务，保证公司职业健康安全管理体系的有效运行，公司特任命 </w:t>
            </w:r>
            <w:r>
              <w:rPr>
                <w:rFonts w:hint="eastAsia"/>
                <w:szCs w:val="21"/>
                <w:u w:val="single"/>
              </w:rPr>
              <w:t xml:space="preserve"> </w:t>
            </w:r>
            <w:r>
              <w:rPr>
                <w:rFonts w:hint="eastAsia"/>
                <w:szCs w:val="21"/>
                <w:u w:val="single"/>
                <w:lang w:val="en-US" w:eastAsia="zh-CN"/>
              </w:rPr>
              <w:t xml:space="preserve">肖旭阳 </w:t>
            </w:r>
            <w:r>
              <w:rPr>
                <w:rFonts w:hint="eastAsia"/>
                <w:szCs w:val="21"/>
              </w:rPr>
              <w:t>为公司员工代表，具体职责如下：</w:t>
            </w:r>
          </w:p>
          <w:p>
            <w:pPr>
              <w:spacing w:line="240" w:lineRule="auto"/>
              <w:ind w:firstLine="420" w:firstLineChars="200"/>
              <w:rPr>
                <w:rFonts w:hint="eastAsia"/>
                <w:szCs w:val="21"/>
              </w:rPr>
            </w:pPr>
            <w:r>
              <w:rPr>
                <w:rFonts w:hint="eastAsia"/>
                <w:szCs w:val="21"/>
              </w:rPr>
              <w:t>1.参与管理方针和程序的制定和评审；</w:t>
            </w:r>
          </w:p>
          <w:p>
            <w:pPr>
              <w:spacing w:line="240" w:lineRule="auto"/>
              <w:ind w:firstLine="420" w:firstLineChars="200"/>
              <w:rPr>
                <w:rFonts w:hint="eastAsia"/>
                <w:szCs w:val="21"/>
              </w:rPr>
            </w:pPr>
            <w:r>
              <w:rPr>
                <w:rFonts w:hint="eastAsia"/>
                <w:szCs w:val="21"/>
              </w:rPr>
              <w:t>2.参与商讨影响工作场所职业健康安全的任何变化；</w:t>
            </w:r>
          </w:p>
          <w:p>
            <w:pPr>
              <w:spacing w:line="240" w:lineRule="auto"/>
              <w:ind w:firstLine="420" w:firstLineChars="200"/>
              <w:rPr>
                <w:rFonts w:ascii="Times New Roman" w:hAnsi="Times New Roman" w:eastAsia="宋体" w:cs="Times New Roman"/>
                <w:kern w:val="2"/>
                <w:sz w:val="21"/>
                <w:szCs w:val="21"/>
                <w:lang w:val="en-US" w:eastAsia="zh-CN" w:bidi="ar-SA"/>
              </w:rPr>
            </w:pPr>
            <w:r>
              <w:rPr>
                <w:rFonts w:hint="eastAsia"/>
                <w:szCs w:val="21"/>
              </w:rPr>
              <w:t>3.参与职业健康安全的事务的处理。</w:t>
            </w:r>
          </w:p>
        </w:tc>
        <w:tc>
          <w:tcPr>
            <w:tcW w:w="8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Cs w:val="21"/>
              </w:rPr>
            </w:pPr>
          </w:p>
        </w:tc>
        <w:tc>
          <w:tcPr>
            <w:tcW w:w="1012" w:type="dxa"/>
          </w:tcPr>
          <w:p>
            <w:pPr>
              <w:spacing w:line="280" w:lineRule="exact"/>
              <w:rPr>
                <w:rFonts w:ascii="宋体" w:hAnsi="宋体" w:cs="宋体"/>
                <w:szCs w:val="21"/>
              </w:rPr>
            </w:pPr>
            <w:r>
              <w:rPr>
                <w:rFonts w:hint="eastAsia" w:ascii="宋体" w:hAnsi="宋体" w:cs="宋体"/>
                <w:szCs w:val="21"/>
              </w:rPr>
              <w:t>Q6.1</w:t>
            </w:r>
          </w:p>
          <w:p>
            <w:pPr>
              <w:spacing w:line="280" w:lineRule="exact"/>
              <w:rPr>
                <w:rFonts w:ascii="宋体"/>
                <w:szCs w:val="21"/>
              </w:rPr>
            </w:pPr>
            <w:r>
              <w:rPr>
                <w:rFonts w:ascii="宋体" w:cs="宋体"/>
                <w:szCs w:val="21"/>
              </w:rPr>
              <w:t>E</w:t>
            </w:r>
            <w:r>
              <w:rPr>
                <w:rFonts w:hint="eastAsia" w:ascii="宋体" w:cs="宋体"/>
                <w:szCs w:val="21"/>
              </w:rPr>
              <w:t>O</w:t>
            </w:r>
            <w:r>
              <w:rPr>
                <w:rFonts w:ascii="宋体" w:cs="宋体"/>
                <w:szCs w:val="21"/>
              </w:rPr>
              <w:t>6.1.1</w:t>
            </w:r>
          </w:p>
          <w:p>
            <w:pPr>
              <w:spacing w:line="280" w:lineRule="exact"/>
              <w:rPr>
                <w:rFonts w:ascii="宋体" w:hAnsi="宋体" w:cs="宋体"/>
                <w:szCs w:val="21"/>
              </w:rPr>
            </w:pPr>
          </w:p>
          <w:p>
            <w:pPr>
              <w:spacing w:line="280" w:lineRule="exact"/>
            </w:pPr>
          </w:p>
        </w:tc>
        <w:tc>
          <w:tcPr>
            <w:tcW w:w="10642" w:type="dxa"/>
            <w:vAlign w:val="center"/>
          </w:tcPr>
          <w:p>
            <w:pPr>
              <w:spacing w:line="240" w:lineRule="auto"/>
            </w:pPr>
            <w:r>
              <w:rPr>
                <w:rFonts w:hint="eastAsia"/>
              </w:rPr>
              <w:t>企业识别了如下分析：</w:t>
            </w:r>
          </w:p>
          <w:p>
            <w:pPr>
              <w:numPr>
                <w:ilvl w:val="0"/>
                <w:numId w:val="1"/>
              </w:numPr>
              <w:spacing w:line="240" w:lineRule="auto"/>
              <w:ind w:left="0" w:leftChars="0" w:firstLine="420" w:firstLineChars="200"/>
              <w:rPr>
                <w:rFonts w:hint="eastAsia" w:eastAsia="宋体"/>
              </w:rPr>
            </w:pPr>
            <w:r>
              <w:rPr>
                <w:rFonts w:hint="eastAsia" w:eastAsia="宋体"/>
              </w:rPr>
              <w:t>政策风险：公司有产业和政策调整的风险</w:t>
            </w:r>
            <w:r>
              <w:rPr>
                <w:rFonts w:hint="eastAsia" w:eastAsia="宋体"/>
                <w:lang w:eastAsia="zh-CN"/>
              </w:rPr>
              <w:t>，</w:t>
            </w:r>
            <w:r>
              <w:rPr>
                <w:rFonts w:hint="eastAsia" w:eastAsia="宋体"/>
              </w:rPr>
              <w:t>为了防止未来有可能发生改变的政策，企业拟在其它类型的工作业务扩大做准备。</w:t>
            </w:r>
          </w:p>
          <w:p>
            <w:pPr>
              <w:numPr>
                <w:ilvl w:val="0"/>
                <w:numId w:val="1"/>
              </w:numPr>
              <w:spacing w:line="240" w:lineRule="auto"/>
              <w:ind w:left="0" w:leftChars="0" w:firstLine="420" w:firstLineChars="200"/>
              <w:rPr>
                <w:rFonts w:hint="eastAsia" w:eastAsia="宋体"/>
              </w:rPr>
            </w:pPr>
            <w:r>
              <w:rPr>
                <w:rFonts w:hint="eastAsia" w:eastAsia="宋体"/>
              </w:rPr>
              <w:t>资金风险：产品及人工成本不断提高，是对资金风险的考验，但不会是关键风险。</w:t>
            </w:r>
          </w:p>
          <w:p>
            <w:pPr>
              <w:numPr>
                <w:ilvl w:val="0"/>
                <w:numId w:val="1"/>
              </w:numPr>
              <w:spacing w:line="240" w:lineRule="auto"/>
              <w:ind w:left="0" w:leftChars="0" w:firstLine="420" w:firstLineChars="200"/>
              <w:rPr>
                <w:rFonts w:hint="eastAsia" w:eastAsia="宋体"/>
              </w:rPr>
            </w:pPr>
            <w:r>
              <w:rPr>
                <w:rFonts w:hint="eastAsia" w:eastAsia="宋体"/>
              </w:rPr>
              <w:t>技术风险：公司拟招聘经验丰富的技术服务人员，并不断组织人员到同行优秀企业学习，加大产品服务及后期作业工作能力的提升，不断提高我企业的行业竞争能力，规避相关技术风险。</w:t>
            </w:r>
          </w:p>
          <w:p>
            <w:pPr>
              <w:numPr>
                <w:ilvl w:val="0"/>
                <w:numId w:val="1"/>
              </w:numPr>
              <w:spacing w:line="240" w:lineRule="auto"/>
              <w:ind w:left="0" w:leftChars="0" w:firstLine="420" w:firstLineChars="200"/>
              <w:rPr>
                <w:rFonts w:hint="eastAsia" w:eastAsia="宋体"/>
              </w:rPr>
            </w:pPr>
            <w:r>
              <w:rPr>
                <w:rFonts w:hint="eastAsia" w:eastAsia="宋体"/>
              </w:rPr>
              <w:t>管理风险：管理一个企业主要是建立一个团队，要有健全的规章制度，让每一个员工都在可控的状态下工作，给每个员工创造发展的空间，让每个职责部门的领导对自己所领导的部门承担全部权利和义务，公司综合部负责管理人员的登记造册、技能培训、人员招聘等，并加大培训力度多方储备人才，防止因人员的流失而造成工作的停滞，造成损失。</w:t>
            </w:r>
          </w:p>
          <w:p>
            <w:pPr>
              <w:numPr>
                <w:ilvl w:val="0"/>
                <w:numId w:val="1"/>
              </w:numPr>
              <w:spacing w:line="240" w:lineRule="auto"/>
              <w:ind w:left="0" w:leftChars="0" w:firstLine="420" w:firstLineChars="200"/>
              <w:rPr>
                <w:rFonts w:hint="eastAsia" w:eastAsia="宋体"/>
                <w:lang w:eastAsia="zh-CN"/>
              </w:rPr>
            </w:pPr>
            <w:r>
              <w:rPr>
                <w:rFonts w:hint="eastAsia" w:eastAsia="宋体"/>
              </w:rPr>
              <w:t>来自市场的风险</w:t>
            </w:r>
            <w:r>
              <w:rPr>
                <w:rFonts w:hint="eastAsia" w:eastAsia="宋体"/>
                <w:lang w:eastAsia="zh-CN"/>
              </w:rPr>
              <w:t>：</w:t>
            </w:r>
            <w:r>
              <w:rPr>
                <w:rFonts w:hint="eastAsia" w:eastAsia="宋体"/>
              </w:rPr>
              <w:t>市场中同行也多，而且同行大都是知名企业，竞争压力大</w:t>
            </w:r>
            <w:r>
              <w:rPr>
                <w:rFonts w:hint="eastAsia" w:eastAsia="宋体"/>
                <w:lang w:eastAsia="zh-CN"/>
              </w:rPr>
              <w:t>。</w:t>
            </w:r>
          </w:p>
          <w:p>
            <w:pPr>
              <w:numPr>
                <w:numId w:val="0"/>
              </w:numPr>
              <w:spacing w:line="240" w:lineRule="auto"/>
              <w:ind w:leftChars="200"/>
              <w:rPr>
                <w:rFonts w:hint="eastAsia" w:eastAsia="宋体"/>
              </w:rPr>
            </w:pPr>
            <w:r>
              <w:rPr>
                <w:rFonts w:hint="eastAsia" w:eastAsia="宋体"/>
              </w:rPr>
              <w:t>风险评估结论：对于以上涉及到的主要风险，一旦发生，均可能对公司的发展造成巨大损失，所以我们应时刻监视并评价相关环境因素，尽可能的规避风险或降低发生概率。</w:t>
            </w:r>
          </w:p>
          <w:p>
            <w:pPr>
              <w:spacing w:line="240" w:lineRule="auto"/>
            </w:pPr>
          </w:p>
        </w:tc>
        <w:tc>
          <w:tcPr>
            <w:tcW w:w="8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2160" w:type="dxa"/>
          </w:tcPr>
          <w:p>
            <w:pPr>
              <w:spacing w:line="280" w:lineRule="exact"/>
              <w:rPr>
                <w:szCs w:val="21"/>
              </w:rPr>
            </w:pPr>
            <w:r>
              <w:rPr>
                <w:rFonts w:hint="eastAsia" w:cs="宋体"/>
                <w:szCs w:val="21"/>
              </w:rPr>
              <w:t>措施的策划</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EO6.1.4</w:t>
            </w:r>
          </w:p>
          <w:p>
            <w:pPr>
              <w:spacing w:line="280" w:lineRule="exact"/>
            </w:pPr>
          </w:p>
        </w:tc>
        <w:tc>
          <w:tcPr>
            <w:tcW w:w="10642" w:type="dxa"/>
            <w:vAlign w:val="center"/>
          </w:tcPr>
          <w:p>
            <w:pPr>
              <w:pStyle w:val="10"/>
              <w:spacing w:line="240" w:lineRule="auto"/>
            </w:pPr>
            <w:r>
              <w:rPr>
                <w:rFonts w:hint="eastAsia"/>
              </w:rPr>
              <w:t>企业制定了如下措施：</w:t>
            </w:r>
          </w:p>
          <w:p>
            <w:pPr>
              <w:numPr>
                <w:ilvl w:val="0"/>
                <w:numId w:val="2"/>
              </w:numPr>
              <w:spacing w:line="240" w:lineRule="auto"/>
              <w:ind w:left="0" w:leftChars="0" w:firstLine="420" w:firstLineChars="200"/>
              <w:rPr>
                <w:rFonts w:hint="eastAsia" w:eastAsia="宋体"/>
              </w:rPr>
            </w:pPr>
            <w:r>
              <w:rPr>
                <w:rFonts w:hint="eastAsia" w:eastAsia="宋体"/>
              </w:rPr>
              <w:t>针对政策风险，公司时刻关注政策的走向，在符合政策的同时对公司进行开展运作。</w:t>
            </w:r>
          </w:p>
          <w:p>
            <w:pPr>
              <w:numPr>
                <w:ilvl w:val="0"/>
                <w:numId w:val="2"/>
              </w:numPr>
              <w:spacing w:line="240" w:lineRule="auto"/>
              <w:ind w:left="0" w:leftChars="0" w:firstLine="420" w:firstLineChars="200"/>
              <w:rPr>
                <w:rFonts w:hint="eastAsia" w:eastAsia="宋体"/>
              </w:rPr>
            </w:pPr>
            <w:r>
              <w:rPr>
                <w:rFonts w:hint="eastAsia" w:eastAsia="宋体"/>
              </w:rPr>
              <w:t>资金风险，公司建立一定得预备资金，防止一时的资金断裂对公司运行造成重大影响。</w:t>
            </w:r>
          </w:p>
          <w:p>
            <w:pPr>
              <w:numPr>
                <w:ilvl w:val="0"/>
                <w:numId w:val="2"/>
              </w:numPr>
              <w:spacing w:line="240" w:lineRule="auto"/>
              <w:ind w:left="0" w:leftChars="0" w:firstLine="420" w:firstLineChars="200"/>
              <w:rPr>
                <w:rFonts w:hint="eastAsia" w:eastAsia="宋体"/>
              </w:rPr>
            </w:pPr>
            <w:r>
              <w:rPr>
                <w:rFonts w:hint="eastAsia" w:eastAsia="宋体"/>
              </w:rPr>
              <w:t>技术风险的应对，定期进行人员培训及技术考核，公司做到公平公正的政策，引进适者生存的模式，对于不适宜的人员先进行调岗，如不能满足要求，再进行淘汰。</w:t>
            </w:r>
          </w:p>
          <w:p>
            <w:pPr>
              <w:numPr>
                <w:ilvl w:val="0"/>
                <w:numId w:val="2"/>
              </w:numPr>
              <w:spacing w:line="240" w:lineRule="auto"/>
              <w:ind w:left="0" w:leftChars="0" w:firstLine="420" w:firstLineChars="200"/>
            </w:pPr>
            <w:r>
              <w:rPr>
                <w:rFonts w:hint="eastAsia" w:eastAsia="宋体"/>
              </w:rPr>
              <w:t>管理及市场风险的应对，加强公司团队的建设，争取公司的竞争力度，积极开拓市场业务，必要时增加公司的资质，例如进行管理体系的认证。</w:t>
            </w:r>
          </w:p>
        </w:tc>
        <w:tc>
          <w:tcPr>
            <w:tcW w:w="8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160"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1012"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QEO6.2</w:t>
            </w:r>
          </w:p>
          <w:p>
            <w:pPr>
              <w:spacing w:line="280" w:lineRule="exact"/>
              <w:rPr>
                <w:rFonts w:asciiTheme="minorEastAsia" w:hAnsiTheme="minorEastAsia" w:eastAsiaTheme="minorEastAsia" w:cstheme="minorEastAsia"/>
                <w:szCs w:val="21"/>
              </w:rPr>
            </w:pPr>
          </w:p>
        </w:tc>
        <w:tc>
          <w:tcPr>
            <w:tcW w:w="10642" w:type="dxa"/>
            <w:vAlign w:val="center"/>
          </w:tcPr>
          <w:p>
            <w:pPr>
              <w:spacing w:line="240" w:lineRule="auto"/>
              <w:ind w:firstLine="420" w:firstLineChars="200"/>
            </w:pPr>
            <w:r>
              <w:rPr>
                <w:rFonts w:hint="eastAsia"/>
              </w:rPr>
              <w:t>公司对管理体系所需的相关职能、层次和过程设定管理目标。</w:t>
            </w:r>
          </w:p>
          <w:p>
            <w:pPr>
              <w:spacing w:line="240" w:lineRule="auto"/>
              <w:ind w:firstLine="420" w:firstLineChars="200"/>
            </w:pPr>
            <w:r>
              <w:rPr>
                <w:rFonts w:hint="eastAsia"/>
              </w:rPr>
              <w:t>公司管理目标是：</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4"/>
              <w:gridCol w:w="1386"/>
              <w:gridCol w:w="3564"/>
              <w:gridCol w:w="2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2774" w:type="dxa"/>
                </w:tcPr>
                <w:p>
                  <w:pPr>
                    <w:widowControl/>
                    <w:spacing w:before="40" w:line="240" w:lineRule="auto"/>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目标</w:t>
                  </w:r>
                </w:p>
              </w:tc>
              <w:tc>
                <w:tcPr>
                  <w:tcW w:w="1386" w:type="dxa"/>
                </w:tcPr>
                <w:p>
                  <w:pPr>
                    <w:widowControl/>
                    <w:spacing w:before="40" w:line="240" w:lineRule="auto"/>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考核频次</w:t>
                  </w:r>
                </w:p>
              </w:tc>
              <w:tc>
                <w:tcPr>
                  <w:tcW w:w="3564" w:type="dxa"/>
                </w:tcPr>
                <w:p>
                  <w:pPr>
                    <w:widowControl/>
                    <w:spacing w:before="40" w:line="240" w:lineRule="auto"/>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计算方法</w:t>
                  </w:r>
                </w:p>
              </w:tc>
              <w:tc>
                <w:tcPr>
                  <w:tcW w:w="2049" w:type="dxa"/>
                </w:tcPr>
                <w:p>
                  <w:pPr>
                    <w:widowControl/>
                    <w:spacing w:before="40" w:line="240" w:lineRule="auto"/>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完成情况（</w:t>
                  </w:r>
                  <w:r>
                    <w:rPr>
                      <w:rFonts w:hint="eastAsia" w:asciiTheme="minorEastAsia" w:hAnsiTheme="minorEastAsia" w:eastAsiaTheme="minorEastAsia" w:cstheme="minorEastAsia"/>
                      <w:color w:val="000000"/>
                      <w:sz w:val="21"/>
                      <w:szCs w:val="21"/>
                      <w:lang w:val="en-US" w:eastAsia="zh-CN"/>
                    </w:rPr>
                    <w:t>2021.1-2021.11</w:t>
                  </w:r>
                  <w:r>
                    <w:rPr>
                      <w:rFonts w:hint="eastAsia" w:asciiTheme="minorEastAsia" w:hAnsiTheme="minorEastAsia" w:eastAsiaTheme="minorEastAsia" w:cstheme="minor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74" w:type="dxa"/>
                  <w:vAlign w:val="top"/>
                </w:tcPr>
                <w:p>
                  <w:pPr>
                    <w:spacing w:after="0"/>
                    <w:rPr>
                      <w:rFonts w:hint="eastAsia" w:ascii="Times New Roman" w:hAnsi="Times New Roman" w:eastAsia="宋体" w:cs="Times New Roman"/>
                      <w:kern w:val="2"/>
                      <w:sz w:val="21"/>
                      <w:szCs w:val="21"/>
                      <w:lang w:val="en-US" w:eastAsia="zh-CN" w:bidi="ar-SA"/>
                    </w:rPr>
                  </w:pPr>
                  <w:r>
                    <w:rPr>
                      <w:rFonts w:hint="eastAsia" w:ascii="宋体" w:hAnsi="宋体"/>
                      <w:color w:val="000000"/>
                      <w:sz w:val="21"/>
                      <w:szCs w:val="21"/>
                    </w:rPr>
                    <w:t>产品一次交验合格率≥97%</w:t>
                  </w:r>
                </w:p>
              </w:tc>
              <w:tc>
                <w:tcPr>
                  <w:tcW w:w="1386" w:type="dxa"/>
                </w:tcPr>
                <w:p>
                  <w:pPr>
                    <w:widowControl/>
                    <w:spacing w:before="40" w:line="240" w:lineRule="auto"/>
                    <w:jc w:val="left"/>
                    <w:rPr>
                      <w:rFonts w:hint="eastAsia" w:asciiTheme="minorEastAsia" w:hAnsiTheme="minorEastAsia" w:eastAsiaTheme="minorEastAsia" w:cstheme="minorEastAsia"/>
                      <w:color w:val="000000"/>
                      <w:sz w:val="21"/>
                      <w:szCs w:val="21"/>
                      <w:highlight w:val="cyan"/>
                    </w:rPr>
                  </w:pPr>
                  <w:r>
                    <w:rPr>
                      <w:rFonts w:hint="eastAsia" w:asciiTheme="minorEastAsia" w:hAnsiTheme="minorEastAsia" w:eastAsiaTheme="minorEastAsia" w:cstheme="minorEastAsia"/>
                      <w:sz w:val="21"/>
                      <w:szCs w:val="21"/>
                    </w:rPr>
                    <w:t>1次/月</w:t>
                  </w:r>
                </w:p>
              </w:tc>
              <w:tc>
                <w:tcPr>
                  <w:tcW w:w="3564" w:type="dxa"/>
                  <w:vAlign w:val="top"/>
                </w:tcPr>
                <w:p>
                  <w:pPr>
                    <w:spacing w:after="0"/>
                    <w:rPr>
                      <w:rFonts w:hint="eastAsia" w:ascii="Times New Roman" w:hAnsi="Times New Roman" w:eastAsia="宋体" w:cs="Times New Roman"/>
                      <w:kern w:val="2"/>
                      <w:sz w:val="21"/>
                      <w:szCs w:val="21"/>
                      <w:lang w:val="en-US" w:eastAsia="zh-CN" w:bidi="ar-SA"/>
                    </w:rPr>
                  </w:pPr>
                  <w:r>
                    <w:rPr>
                      <w:rFonts w:hint="eastAsia"/>
                      <w:sz w:val="21"/>
                      <w:szCs w:val="21"/>
                    </w:rPr>
                    <w:t>合格数÷总数×</w:t>
                  </w:r>
                  <w:r>
                    <w:rPr>
                      <w:sz w:val="21"/>
                      <w:szCs w:val="21"/>
                    </w:rPr>
                    <w:t>100%</w:t>
                  </w:r>
                </w:p>
              </w:tc>
              <w:tc>
                <w:tcPr>
                  <w:tcW w:w="2049" w:type="dxa"/>
                </w:tcPr>
                <w:p>
                  <w:pPr>
                    <w:widowControl/>
                    <w:spacing w:before="40" w:line="240" w:lineRule="auto"/>
                    <w:jc w:val="left"/>
                    <w:rPr>
                      <w:rFonts w:hint="eastAsia" w:asciiTheme="minorEastAsia" w:hAnsiTheme="minorEastAsia" w:eastAsiaTheme="minorEastAsia" w:cstheme="minorEastAsia"/>
                      <w:color w:val="000000"/>
                      <w:sz w:val="21"/>
                      <w:szCs w:val="21"/>
                      <w:highlight w:val="cyan"/>
                    </w:rPr>
                  </w:pPr>
                  <w:r>
                    <w:rPr>
                      <w:rFonts w:hint="eastAsia" w:asciiTheme="minorEastAsia" w:hAnsiTheme="minorEastAsia" w:eastAsiaTheme="minorEastAsia" w:cstheme="minorEastAsia"/>
                      <w:sz w:val="21"/>
                      <w:szCs w:val="21"/>
                      <w:lang w:val="en-US" w:eastAsia="zh-CN"/>
                    </w:rPr>
                    <w:t>100</w:t>
                  </w: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74" w:type="dxa"/>
                  <w:vAlign w:val="top"/>
                </w:tcPr>
                <w:p>
                  <w:pPr>
                    <w:spacing w:after="0"/>
                    <w:rPr>
                      <w:rFonts w:hint="eastAsia" w:ascii="Times New Roman" w:hAnsi="Times New Roman" w:eastAsia="宋体" w:cs="Times New Roman"/>
                      <w:kern w:val="2"/>
                      <w:sz w:val="21"/>
                      <w:szCs w:val="21"/>
                      <w:lang w:val="en-US" w:eastAsia="zh-CN" w:bidi="ar-SA"/>
                    </w:rPr>
                  </w:pPr>
                  <w:r>
                    <w:rPr>
                      <w:rFonts w:hint="eastAsia" w:ascii="宋体" w:hAnsi="宋体"/>
                      <w:color w:val="000000"/>
                      <w:sz w:val="21"/>
                      <w:szCs w:val="21"/>
                    </w:rPr>
                    <w:t>顾客满意度9</w:t>
                  </w:r>
                  <w:r>
                    <w:rPr>
                      <w:rFonts w:ascii="宋体" w:hAnsi="宋体"/>
                      <w:color w:val="000000"/>
                      <w:sz w:val="21"/>
                      <w:szCs w:val="21"/>
                    </w:rPr>
                    <w:t>5</w:t>
                  </w:r>
                  <w:r>
                    <w:rPr>
                      <w:rFonts w:hint="eastAsia" w:ascii="宋体" w:hAnsi="宋体"/>
                      <w:color w:val="000000"/>
                      <w:sz w:val="21"/>
                      <w:szCs w:val="21"/>
                    </w:rPr>
                    <w:t>分以上</w:t>
                  </w:r>
                </w:p>
              </w:tc>
              <w:tc>
                <w:tcPr>
                  <w:tcW w:w="1386" w:type="dxa"/>
                </w:tcPr>
                <w:p>
                  <w:pPr>
                    <w:widowControl/>
                    <w:spacing w:before="40" w:line="240" w:lineRule="auto"/>
                    <w:jc w:val="left"/>
                    <w:rPr>
                      <w:rFonts w:hint="eastAsia" w:asciiTheme="minorEastAsia" w:hAnsiTheme="minorEastAsia" w:eastAsiaTheme="minorEastAsia" w:cstheme="minorEastAsia"/>
                      <w:color w:val="000000"/>
                      <w:sz w:val="21"/>
                      <w:szCs w:val="21"/>
                      <w:highlight w:val="cyan"/>
                    </w:rPr>
                  </w:pPr>
                  <w:r>
                    <w:rPr>
                      <w:rFonts w:hint="eastAsia" w:asciiTheme="minorEastAsia" w:hAnsiTheme="minorEastAsia" w:eastAsiaTheme="minorEastAsia" w:cstheme="minorEastAsia"/>
                      <w:sz w:val="21"/>
                      <w:szCs w:val="21"/>
                    </w:rPr>
                    <w:t>1次/月</w:t>
                  </w:r>
                </w:p>
              </w:tc>
              <w:tc>
                <w:tcPr>
                  <w:tcW w:w="3564" w:type="dxa"/>
                  <w:vAlign w:val="top"/>
                </w:tcPr>
                <w:p>
                  <w:pPr>
                    <w:widowControl/>
                    <w:spacing w:before="40" w:line="240" w:lineRule="auto"/>
                    <w:jc w:val="left"/>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评定数÷总数×100%</w:t>
                  </w:r>
                </w:p>
              </w:tc>
              <w:tc>
                <w:tcPr>
                  <w:tcW w:w="2049" w:type="dxa"/>
                </w:tcPr>
                <w:p>
                  <w:pPr>
                    <w:widowControl/>
                    <w:spacing w:before="40" w:line="240" w:lineRule="auto"/>
                    <w:jc w:val="left"/>
                    <w:rPr>
                      <w:rFonts w:hint="default"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74" w:type="dxa"/>
                  <w:vAlign w:val="top"/>
                </w:tcPr>
                <w:p>
                  <w:pPr>
                    <w:spacing w:after="0"/>
                    <w:rPr>
                      <w:rFonts w:hint="eastAsia" w:ascii="Times New Roman" w:hAnsi="Times New Roman" w:eastAsia="宋体" w:cs="Times New Roman"/>
                      <w:kern w:val="2"/>
                      <w:sz w:val="21"/>
                      <w:szCs w:val="21"/>
                      <w:lang w:val="en-US" w:eastAsia="zh-CN" w:bidi="ar-SA"/>
                    </w:rPr>
                  </w:pPr>
                  <w:r>
                    <w:rPr>
                      <w:rFonts w:hint="eastAsia" w:ascii="宋体" w:hAnsi="宋体"/>
                      <w:color w:val="000000"/>
                      <w:sz w:val="21"/>
                      <w:szCs w:val="21"/>
                    </w:rPr>
                    <w:t>火灾、触电机械伤害、高空堕落控制事故为0</w:t>
                  </w:r>
                </w:p>
              </w:tc>
              <w:tc>
                <w:tcPr>
                  <w:tcW w:w="1386" w:type="dxa"/>
                </w:tcPr>
                <w:p>
                  <w:pPr>
                    <w:widowControl/>
                    <w:spacing w:before="40" w:line="240" w:lineRule="auto"/>
                    <w:jc w:val="left"/>
                    <w:rPr>
                      <w:rFonts w:hint="eastAsia" w:asciiTheme="minorEastAsia" w:hAnsiTheme="minorEastAsia" w:eastAsiaTheme="minorEastAsia" w:cstheme="minorEastAsia"/>
                      <w:color w:val="000000"/>
                      <w:sz w:val="21"/>
                      <w:szCs w:val="21"/>
                      <w:highlight w:val="cyan"/>
                    </w:rPr>
                  </w:pPr>
                  <w:r>
                    <w:rPr>
                      <w:rFonts w:hint="eastAsia" w:asciiTheme="minorEastAsia" w:hAnsiTheme="minorEastAsia" w:eastAsiaTheme="minorEastAsia" w:cstheme="minorEastAsia"/>
                      <w:sz w:val="21"/>
                      <w:szCs w:val="21"/>
                    </w:rPr>
                    <w:t>1次/月</w:t>
                  </w:r>
                </w:p>
              </w:tc>
              <w:tc>
                <w:tcPr>
                  <w:tcW w:w="3564" w:type="dxa"/>
                  <w:vAlign w:val="top"/>
                </w:tcPr>
                <w:p>
                  <w:pPr>
                    <w:spacing w:after="0"/>
                    <w:rPr>
                      <w:rFonts w:hint="eastAsia" w:ascii="Times New Roman" w:hAnsi="Times New Roman" w:eastAsia="宋体" w:cs="Times New Roman"/>
                      <w:kern w:val="2"/>
                      <w:sz w:val="21"/>
                      <w:szCs w:val="21"/>
                      <w:lang w:val="en-US" w:eastAsia="zh-CN" w:bidi="ar-SA"/>
                    </w:rPr>
                  </w:pPr>
                  <w:r>
                    <w:rPr>
                      <w:rFonts w:hint="eastAsia"/>
                      <w:sz w:val="21"/>
                      <w:szCs w:val="21"/>
                    </w:rPr>
                    <w:t>查看触电、火灾、</w:t>
                  </w:r>
                  <w:r>
                    <w:rPr>
                      <w:rFonts w:hint="eastAsia" w:ascii="宋体" w:hAnsi="宋体"/>
                      <w:color w:val="000000"/>
                      <w:sz w:val="21"/>
                      <w:szCs w:val="21"/>
                    </w:rPr>
                    <w:t>机械伤害、高空堕落</w:t>
                  </w:r>
                  <w:r>
                    <w:rPr>
                      <w:rFonts w:hint="eastAsia"/>
                      <w:sz w:val="21"/>
                      <w:szCs w:val="21"/>
                    </w:rPr>
                    <w:t>事故记录</w:t>
                  </w:r>
                </w:p>
              </w:tc>
              <w:tc>
                <w:tcPr>
                  <w:tcW w:w="2049" w:type="dxa"/>
                </w:tcPr>
                <w:p>
                  <w:pPr>
                    <w:widowControl/>
                    <w:spacing w:before="40" w:line="240" w:lineRule="auto"/>
                    <w:jc w:val="left"/>
                    <w:rPr>
                      <w:rFonts w:hint="eastAsia" w:asciiTheme="minorEastAsia" w:hAnsiTheme="minorEastAsia" w:eastAsiaTheme="minorEastAsia" w:cstheme="minorEastAsia"/>
                      <w:color w:val="000000"/>
                      <w:sz w:val="21"/>
                      <w:szCs w:val="21"/>
                      <w:highlight w:val="cyan"/>
                      <w:lang w:val="en-US" w:eastAsia="zh-CN"/>
                    </w:rPr>
                  </w:pPr>
                  <w:r>
                    <w:rPr>
                      <w:rFonts w:hint="eastAsia" w:asciiTheme="minorEastAsia" w:hAnsiTheme="minorEastAsia" w:eastAsiaTheme="minorEastAsia" w:cstheme="minorEastAsia"/>
                      <w:color w:val="000000"/>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74" w:type="dxa"/>
                  <w:vAlign w:val="top"/>
                </w:tcPr>
                <w:p>
                  <w:pPr>
                    <w:spacing w:after="0" w:line="360" w:lineRule="auto"/>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职业病发病为0</w:t>
                  </w:r>
                </w:p>
              </w:tc>
              <w:tc>
                <w:tcPr>
                  <w:tcW w:w="1386" w:type="dxa"/>
                </w:tcPr>
                <w:p>
                  <w:pPr>
                    <w:widowControl/>
                    <w:spacing w:before="40" w:line="240" w:lineRule="auto"/>
                    <w:jc w:val="left"/>
                    <w:rPr>
                      <w:rFonts w:hint="eastAsia" w:asciiTheme="minorEastAsia" w:hAnsiTheme="minorEastAsia" w:eastAsiaTheme="minorEastAsia" w:cstheme="minorEastAsia"/>
                      <w:color w:val="000000"/>
                      <w:sz w:val="21"/>
                      <w:szCs w:val="21"/>
                      <w:highlight w:val="cyan"/>
                    </w:rPr>
                  </w:pPr>
                  <w:r>
                    <w:rPr>
                      <w:rFonts w:hint="eastAsia" w:asciiTheme="minorEastAsia" w:hAnsiTheme="minorEastAsia" w:eastAsiaTheme="minorEastAsia" w:cstheme="minorEastAsia"/>
                      <w:sz w:val="21"/>
                      <w:szCs w:val="21"/>
                    </w:rPr>
                    <w:t>1次/月</w:t>
                  </w:r>
                </w:p>
              </w:tc>
              <w:tc>
                <w:tcPr>
                  <w:tcW w:w="3564" w:type="dxa"/>
                  <w:vAlign w:val="top"/>
                </w:tcPr>
                <w:p>
                  <w:pPr>
                    <w:spacing w:after="0"/>
                    <w:rPr>
                      <w:rFonts w:hint="eastAsia" w:ascii="Times New Roman" w:hAnsi="Times New Roman" w:eastAsia="宋体" w:cs="Times New Roman"/>
                      <w:kern w:val="2"/>
                      <w:sz w:val="21"/>
                      <w:szCs w:val="21"/>
                      <w:lang w:val="en-US" w:eastAsia="zh-CN" w:bidi="ar-SA"/>
                    </w:rPr>
                  </w:pPr>
                  <w:r>
                    <w:rPr>
                      <w:rFonts w:hint="eastAsia"/>
                      <w:sz w:val="21"/>
                      <w:szCs w:val="21"/>
                    </w:rPr>
                    <w:t>查看职业健康体检报告</w:t>
                  </w:r>
                </w:p>
              </w:tc>
              <w:tc>
                <w:tcPr>
                  <w:tcW w:w="2049" w:type="dxa"/>
                </w:tcPr>
                <w:p>
                  <w:pPr>
                    <w:widowControl/>
                    <w:spacing w:before="40" w:line="240" w:lineRule="auto"/>
                    <w:jc w:val="left"/>
                    <w:rPr>
                      <w:rFonts w:hint="eastAsia" w:asciiTheme="minorEastAsia" w:hAnsiTheme="minorEastAsia" w:eastAsiaTheme="minorEastAsia" w:cstheme="minorEastAsia"/>
                      <w:color w:val="000000"/>
                      <w:sz w:val="21"/>
                      <w:szCs w:val="21"/>
                      <w:highlight w:val="cyan"/>
                    </w:rPr>
                  </w:pPr>
                  <w:r>
                    <w:rPr>
                      <w:rFonts w:hint="eastAsia" w:asciiTheme="minorEastAsia" w:hAnsiTheme="minorEastAsia" w:eastAsia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74" w:type="dxa"/>
                  <w:vAlign w:val="top"/>
                </w:tcPr>
                <w:p>
                  <w:pPr>
                    <w:spacing w:after="0"/>
                    <w:rPr>
                      <w:rFonts w:ascii="宋体" w:hAnsi="宋体"/>
                      <w:sz w:val="21"/>
                      <w:szCs w:val="21"/>
                    </w:rPr>
                  </w:pPr>
                  <w:r>
                    <w:rPr>
                      <w:rFonts w:hint="eastAsia" w:ascii="宋体" w:hAnsi="宋体"/>
                      <w:sz w:val="21"/>
                      <w:szCs w:val="21"/>
                    </w:rPr>
                    <w:t>固体废弃物分类处置</w:t>
                  </w:r>
                </w:p>
                <w:p>
                  <w:pPr>
                    <w:spacing w:after="0"/>
                    <w:rPr>
                      <w:rFonts w:hint="eastAsia" w:ascii="Times New Roman" w:hAnsi="Times New Roman" w:eastAsia="宋体" w:cs="Times New Roman"/>
                      <w:kern w:val="2"/>
                      <w:sz w:val="21"/>
                      <w:szCs w:val="21"/>
                      <w:lang w:val="en-US" w:eastAsia="zh-CN" w:bidi="ar-SA"/>
                    </w:rPr>
                  </w:pPr>
                  <w:r>
                    <w:rPr>
                      <w:rFonts w:hint="eastAsia" w:ascii="宋体" w:hAnsi="宋体" w:cs="HAAPML+ºÚÌå"/>
                      <w:sz w:val="21"/>
                      <w:szCs w:val="21"/>
                    </w:rPr>
                    <w:t>噪声\粉尘达标排放</w:t>
                  </w:r>
                </w:p>
              </w:tc>
              <w:tc>
                <w:tcPr>
                  <w:tcW w:w="1386" w:type="dxa"/>
                </w:tcPr>
                <w:p>
                  <w:pPr>
                    <w:widowControl/>
                    <w:spacing w:before="40" w:line="240" w:lineRule="auto"/>
                    <w:jc w:val="left"/>
                    <w:rPr>
                      <w:rFonts w:hint="eastAsia" w:asciiTheme="minorEastAsia" w:hAnsiTheme="minorEastAsia" w:eastAsiaTheme="minorEastAsia" w:cstheme="minorEastAsia"/>
                      <w:color w:val="000000"/>
                      <w:sz w:val="21"/>
                      <w:szCs w:val="21"/>
                      <w:highlight w:val="cyan"/>
                    </w:rPr>
                  </w:pPr>
                  <w:r>
                    <w:rPr>
                      <w:rFonts w:hint="eastAsia" w:asciiTheme="minorEastAsia" w:hAnsiTheme="minorEastAsia" w:eastAsiaTheme="minorEastAsia" w:cstheme="minorEastAsia"/>
                      <w:sz w:val="21"/>
                      <w:szCs w:val="21"/>
                    </w:rPr>
                    <w:t>1次/月</w:t>
                  </w:r>
                </w:p>
              </w:tc>
              <w:tc>
                <w:tcPr>
                  <w:tcW w:w="3564" w:type="dxa"/>
                  <w:vAlign w:val="top"/>
                </w:tcPr>
                <w:p>
                  <w:pPr>
                    <w:spacing w:after="0"/>
                    <w:rPr>
                      <w:rFonts w:hint="eastAsia" w:ascii="Times New Roman" w:hAnsi="Times New Roman" w:eastAsia="宋体" w:cs="Times New Roman"/>
                      <w:kern w:val="2"/>
                      <w:sz w:val="21"/>
                      <w:szCs w:val="21"/>
                      <w:lang w:val="en-US" w:eastAsia="zh-CN" w:bidi="ar-SA"/>
                    </w:rPr>
                  </w:pPr>
                  <w:r>
                    <w:rPr>
                      <w:rFonts w:hint="eastAsia"/>
                      <w:sz w:val="21"/>
                      <w:szCs w:val="21"/>
                    </w:rPr>
                    <w:t>符合数量÷检查数量×</w:t>
                  </w:r>
                  <w:r>
                    <w:rPr>
                      <w:sz w:val="21"/>
                      <w:szCs w:val="21"/>
                    </w:rPr>
                    <w:t>100%</w:t>
                  </w:r>
                  <w:r>
                    <w:rPr>
                      <w:rFonts w:hint="eastAsia"/>
                      <w:sz w:val="21"/>
                      <w:szCs w:val="21"/>
                    </w:rPr>
                    <w:t>。</w:t>
                  </w:r>
                </w:p>
              </w:tc>
              <w:tc>
                <w:tcPr>
                  <w:tcW w:w="2049" w:type="dxa"/>
                </w:tcPr>
                <w:p>
                  <w:pPr>
                    <w:widowControl/>
                    <w:spacing w:before="40" w:line="240" w:lineRule="auto"/>
                    <w:jc w:val="left"/>
                    <w:rPr>
                      <w:rFonts w:hint="eastAsia" w:asciiTheme="minorEastAsia" w:hAnsiTheme="minorEastAsia" w:eastAsiaTheme="minorEastAsia" w:cstheme="minorEastAsia"/>
                      <w:color w:val="000000"/>
                      <w:sz w:val="21"/>
                      <w:szCs w:val="21"/>
                      <w:highlight w:val="cyan"/>
                      <w:lang w:val="en-US" w:eastAsia="zh-CN"/>
                    </w:rPr>
                  </w:pPr>
                  <w:r>
                    <w:rPr>
                      <w:rFonts w:hint="eastAsia" w:asciiTheme="minorEastAsia" w:hAnsiTheme="minorEastAsia" w:eastAsiaTheme="minorEastAsia" w:cstheme="minorEastAsia"/>
                      <w:sz w:val="21"/>
                      <w:szCs w:val="21"/>
                      <w:lang w:val="en-US" w:eastAsia="zh-CN"/>
                    </w:rPr>
                    <w:t>100</w:t>
                  </w:r>
                  <w:r>
                    <w:rPr>
                      <w:rFonts w:hint="eastAsia" w:asciiTheme="minorEastAsia" w:hAnsiTheme="minorEastAsia" w:eastAsiaTheme="minorEastAsia" w:cstheme="minorEastAsia"/>
                      <w:sz w:val="21"/>
                      <w:szCs w:val="21"/>
                    </w:rPr>
                    <w:t xml:space="preserve"> %</w:t>
                  </w:r>
                </w:p>
              </w:tc>
            </w:tr>
          </w:tbl>
          <w:p>
            <w:pPr>
              <w:spacing w:line="240" w:lineRule="auto"/>
              <w:ind w:firstLine="420" w:firstLineChars="200"/>
            </w:pPr>
            <w:r>
              <w:rPr>
                <w:rFonts w:hint="eastAsia"/>
              </w:rPr>
              <w:t>目标可测量，与公司管理方针一致。</w:t>
            </w:r>
          </w:p>
          <w:p>
            <w:pPr>
              <w:spacing w:line="240" w:lineRule="auto"/>
              <w:ind w:firstLine="420" w:firstLineChars="200"/>
            </w:pPr>
            <w:r>
              <w:rPr>
                <w:rFonts w:hint="eastAsia"/>
              </w:rPr>
              <w:t>每年由综合部按公司管理目标考核要求统计考核公司管理目标完成情况，提交管理评审会议。</w:t>
            </w:r>
          </w:p>
          <w:p>
            <w:pPr>
              <w:spacing w:line="240" w:lineRule="auto"/>
              <w:ind w:firstLine="420" w:firstLineChars="200"/>
            </w:pPr>
            <w:r>
              <w:rPr>
                <w:rFonts w:hint="eastAsia"/>
              </w:rPr>
              <w:t>针对重要环境因素、不可接受风险制订了管理方案并予以实施，基本有效，详见综合部该条款审核记录。</w:t>
            </w:r>
          </w:p>
        </w:tc>
        <w:tc>
          <w:tcPr>
            <w:tcW w:w="8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280" w:lineRule="exact"/>
              <w:rPr>
                <w:rFonts w:ascii="宋体" w:hAnsi="宋体" w:cs="宋体"/>
                <w:szCs w:val="21"/>
              </w:rPr>
            </w:pPr>
            <w:r>
              <w:rPr>
                <w:rFonts w:hint="eastAsia" w:ascii="宋体" w:hAnsi="宋体" w:cs="宋体"/>
                <w:szCs w:val="21"/>
              </w:rPr>
              <w:t>变更的策划</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Q6.3</w:t>
            </w:r>
          </w:p>
          <w:p>
            <w:pPr>
              <w:pStyle w:val="10"/>
            </w:pPr>
          </w:p>
        </w:tc>
        <w:tc>
          <w:tcPr>
            <w:tcW w:w="10642" w:type="dxa"/>
            <w:vAlign w:val="center"/>
          </w:tcPr>
          <w:p>
            <w:pPr>
              <w:autoSpaceDE w:val="0"/>
              <w:autoSpaceDN w:val="0"/>
              <w:adjustRightInd w:val="0"/>
              <w:spacing w:line="240" w:lineRule="auto"/>
              <w:ind w:firstLine="480"/>
              <w:rPr>
                <w:rFonts w:ascii="宋体" w:hAnsi="宋体" w:cs="宋体"/>
                <w:szCs w:val="21"/>
              </w:rPr>
            </w:pPr>
            <w:r>
              <w:rPr>
                <w:rFonts w:hint="eastAsia" w:ascii="宋体" w:hAnsi="宋体" w:cs="宋体"/>
                <w:szCs w:val="21"/>
              </w:rPr>
              <w:t>公司确定需要对管理体系进行变更时，应经策划并系统的实施。需要管理层考虑体系变更的目的、变更后的潜在后果及变更后体系的完整性，考虑变更后资源获得及责任权限的再分配等问题。明确以上因素后，按照过程方法要求系统地实施变更，重新确定变更后过程的输入输出、监测标准、资源支持及改进可能等。</w:t>
            </w:r>
          </w:p>
          <w:p>
            <w:pPr>
              <w:spacing w:line="240" w:lineRule="auto"/>
              <w:rPr>
                <w:rFonts w:ascii="宋体" w:hAnsi="宋体" w:cs="宋体"/>
                <w:szCs w:val="21"/>
              </w:rPr>
            </w:pPr>
          </w:p>
          <w:p>
            <w:pPr>
              <w:spacing w:line="240" w:lineRule="auto"/>
              <w:ind w:firstLine="420" w:firstLineChars="200"/>
              <w:rPr>
                <w:rFonts w:ascii="宋体" w:hAnsi="宋体" w:cs="宋体"/>
                <w:szCs w:val="21"/>
              </w:rPr>
            </w:pPr>
            <w:r>
              <w:rPr>
                <w:rFonts w:hint="eastAsia" w:ascii="宋体" w:hAnsi="宋体" w:cs="宋体"/>
                <w:szCs w:val="21"/>
              </w:rPr>
              <w:t>公司目前对管理体系暂无变更。</w:t>
            </w:r>
          </w:p>
        </w:tc>
        <w:tc>
          <w:tcPr>
            <w:tcW w:w="8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160" w:type="dxa"/>
          </w:tcPr>
          <w:p>
            <w:pPr>
              <w:spacing w:line="280" w:lineRule="exact"/>
              <w:rPr>
                <w:rFonts w:ascii="宋体" w:hAnsi="宋体" w:cs="宋体"/>
                <w:szCs w:val="21"/>
              </w:rPr>
            </w:pPr>
            <w:r>
              <w:rPr>
                <w:rFonts w:hint="eastAsia" w:ascii="宋体" w:hAnsi="宋体" w:cs="宋体"/>
                <w:szCs w:val="21"/>
              </w:rPr>
              <w:t>资源、总则</w:t>
            </w:r>
          </w:p>
          <w:p>
            <w:pPr>
              <w:spacing w:line="280" w:lineRule="exact"/>
              <w:rPr>
                <w:rFonts w:ascii="宋体" w:hAnsi="宋体" w:cs="宋体"/>
                <w:szCs w:val="21"/>
              </w:rPr>
            </w:pPr>
          </w:p>
        </w:tc>
        <w:tc>
          <w:tcPr>
            <w:tcW w:w="1012" w:type="dxa"/>
          </w:tcPr>
          <w:p>
            <w:pPr>
              <w:spacing w:line="280" w:lineRule="exact"/>
              <w:rPr>
                <w:rFonts w:hint="eastAsia"/>
                <w:szCs w:val="21"/>
                <w:lang w:val="en-US" w:eastAsia="zh-CN"/>
              </w:rPr>
            </w:pPr>
            <w:r>
              <w:rPr>
                <w:rFonts w:hint="eastAsia"/>
                <w:szCs w:val="21"/>
              </w:rPr>
              <w:t>Q</w:t>
            </w:r>
            <w:r>
              <w:rPr>
                <w:rFonts w:hint="eastAsia"/>
                <w:szCs w:val="21"/>
                <w:lang w:val="en-US" w:eastAsia="zh-CN"/>
              </w:rPr>
              <w:t>7.1.1</w:t>
            </w:r>
          </w:p>
          <w:p>
            <w:pPr>
              <w:spacing w:line="280" w:lineRule="exact"/>
              <w:rPr>
                <w:szCs w:val="21"/>
              </w:rPr>
            </w:pPr>
            <w:r>
              <w:rPr>
                <w:rFonts w:hint="eastAsia"/>
                <w:szCs w:val="21"/>
              </w:rPr>
              <w:t>EO7.1</w:t>
            </w:r>
          </w:p>
          <w:p>
            <w:pPr>
              <w:spacing w:line="280" w:lineRule="exact"/>
            </w:pPr>
          </w:p>
        </w:tc>
        <w:tc>
          <w:tcPr>
            <w:tcW w:w="10642" w:type="dxa"/>
            <w:vAlign w:val="center"/>
          </w:tcPr>
          <w:p>
            <w:pPr>
              <w:spacing w:line="240" w:lineRule="auto"/>
            </w:pPr>
            <w:r>
              <w:rPr>
                <w:rFonts w:hint="eastAsia"/>
              </w:rPr>
              <w:t>查公司配备了必要的人力资源，基础设施，规范文件、资金等必要的资源，能够持续满足顾客需求和管理体系改进的需要。</w:t>
            </w:r>
          </w:p>
          <w:p>
            <w:pPr>
              <w:spacing w:line="240" w:lineRule="auto"/>
              <w:rPr>
                <w:rFonts w:hint="default" w:eastAsia="宋体"/>
                <w:lang w:val="en-US" w:eastAsia="zh-CN"/>
              </w:rPr>
            </w:pPr>
            <w:r>
              <w:rPr>
                <w:rFonts w:hint="eastAsia" w:ascii="宋体" w:hAnsi="宋体" w:cs="宋体"/>
                <w:szCs w:val="21"/>
              </w:rPr>
              <w:t>部门：综合部、生产部、</w:t>
            </w:r>
            <w:r>
              <w:rPr>
                <w:rFonts w:hint="eastAsia" w:ascii="宋体" w:hAnsi="宋体" w:cs="宋体"/>
                <w:szCs w:val="21"/>
                <w:lang w:val="en-US" w:eastAsia="zh-CN"/>
              </w:rPr>
              <w:t>技术部、质检部、安环部、</w:t>
            </w:r>
            <w:r>
              <w:rPr>
                <w:rFonts w:hint="eastAsia" w:ascii="宋体" w:hAnsi="宋体" w:cs="宋体"/>
                <w:szCs w:val="21"/>
              </w:rPr>
              <w:t>销售部</w:t>
            </w:r>
            <w:r>
              <w:rPr>
                <w:rFonts w:hint="eastAsia" w:ascii="宋体" w:hAnsi="宋体" w:cs="宋体"/>
                <w:szCs w:val="21"/>
                <w:lang w:eastAsia="zh-CN"/>
              </w:rPr>
              <w:t>、</w:t>
            </w:r>
            <w:r>
              <w:rPr>
                <w:rFonts w:hint="eastAsia" w:ascii="宋体" w:hAnsi="宋体" w:cs="宋体"/>
                <w:szCs w:val="21"/>
                <w:lang w:val="en-US" w:eastAsia="zh-CN"/>
              </w:rPr>
              <w:t>财务部</w:t>
            </w:r>
          </w:p>
          <w:p>
            <w:pPr>
              <w:pStyle w:val="10"/>
              <w:spacing w:line="240" w:lineRule="auto"/>
            </w:pPr>
            <w:r>
              <w:rPr>
                <w:rFonts w:hint="eastAsia"/>
              </w:rPr>
              <w:t>人员：办公人员、业务人员、财务人员、生产人员、质检人员</w:t>
            </w:r>
          </w:p>
          <w:p>
            <w:pPr>
              <w:spacing w:line="240" w:lineRule="auto"/>
              <w:rPr>
                <w:rStyle w:val="15"/>
                <w:rFonts w:ascii="Arial" w:hAnsi="Arial" w:cs="Arial"/>
                <w:shd w:val="clear" w:color="auto" w:fill="FFFFFF"/>
              </w:rPr>
            </w:pPr>
            <w:r>
              <w:rPr>
                <w:rStyle w:val="15"/>
                <w:rFonts w:hint="eastAsia" w:ascii="Arial" w:hAnsi="Arial" w:cs="Arial"/>
                <w:shd w:val="clear" w:color="auto" w:fill="FFFFFF"/>
              </w:rPr>
              <w:t>办公设备：电脑、电话、打印机、传真机等</w:t>
            </w:r>
          </w:p>
          <w:p>
            <w:pPr>
              <w:pStyle w:val="10"/>
              <w:spacing w:line="240" w:lineRule="auto"/>
              <w:rPr>
                <w:rFonts w:hint="eastAsia"/>
              </w:rPr>
            </w:pPr>
            <w:r>
              <w:rPr>
                <w:rFonts w:hint="eastAsia"/>
              </w:rPr>
              <w:t>生产设备：乙氯醋酸乙烯酯计量罐、第一清浆循环罐</w:t>
            </w:r>
            <w:r>
              <w:rPr>
                <w:rFonts w:hint="eastAsia"/>
                <w:lang w:eastAsia="zh-CN"/>
              </w:rPr>
              <w:t>、</w:t>
            </w:r>
            <w:r>
              <w:rPr>
                <w:rFonts w:hint="eastAsia"/>
              </w:rPr>
              <w:t>污水缓冲罐</w:t>
            </w:r>
            <w:r>
              <w:rPr>
                <w:rFonts w:hint="eastAsia"/>
                <w:lang w:eastAsia="zh-CN"/>
              </w:rPr>
              <w:t>、</w:t>
            </w:r>
            <w:r>
              <w:rPr>
                <w:rFonts w:hint="eastAsia"/>
              </w:rPr>
              <w:t>丙烯酸甲酯储罐</w:t>
            </w:r>
            <w:r>
              <w:rPr>
                <w:rFonts w:hint="eastAsia"/>
                <w:lang w:eastAsia="zh-CN"/>
              </w:rPr>
              <w:t>、</w:t>
            </w:r>
            <w:r>
              <w:rPr>
                <w:rFonts w:hint="eastAsia"/>
              </w:rPr>
              <w:t>RTO炉体</w:t>
            </w:r>
            <w:r>
              <w:rPr>
                <w:rFonts w:hint="eastAsia"/>
                <w:lang w:eastAsia="zh-CN"/>
              </w:rPr>
              <w:t>、</w:t>
            </w:r>
            <w:r>
              <w:rPr>
                <w:rFonts w:hint="eastAsia"/>
              </w:rPr>
              <w:t>罗茨风机</w:t>
            </w:r>
            <w:r>
              <w:rPr>
                <w:rFonts w:hint="eastAsia"/>
                <w:lang w:eastAsia="zh-CN"/>
              </w:rPr>
              <w:t>、</w:t>
            </w:r>
            <w:r>
              <w:rPr>
                <w:rFonts w:hint="eastAsia"/>
              </w:rPr>
              <w:t>减速搅拌机</w:t>
            </w:r>
            <w:r>
              <w:rPr>
                <w:rFonts w:hint="eastAsia"/>
                <w:lang w:eastAsia="zh-CN"/>
              </w:rPr>
              <w:t>、</w:t>
            </w:r>
            <w:r>
              <w:rPr>
                <w:rFonts w:hint="eastAsia"/>
              </w:rPr>
              <w:t>喷射泵</w:t>
            </w:r>
            <w:r>
              <w:rPr>
                <w:rFonts w:hint="eastAsia"/>
                <w:lang w:eastAsia="zh-CN"/>
              </w:rPr>
              <w:t>、</w:t>
            </w:r>
            <w:r>
              <w:rPr>
                <w:rFonts w:hint="eastAsia"/>
              </w:rPr>
              <w:t>胶粒破碎机机等</w:t>
            </w:r>
          </w:p>
          <w:p>
            <w:pPr>
              <w:pStyle w:val="10"/>
              <w:spacing w:line="240" w:lineRule="auto"/>
              <w:rPr>
                <w:rStyle w:val="15"/>
                <w:rFonts w:ascii="Arial" w:hAnsi="Arial" w:cs="Arial"/>
                <w:bCs w:val="0"/>
                <w:spacing w:val="0"/>
                <w:shd w:val="clear" w:color="auto" w:fill="FFFFFF"/>
              </w:rPr>
            </w:pPr>
            <w:r>
              <w:rPr>
                <w:rStyle w:val="15"/>
                <w:rFonts w:hint="eastAsia" w:ascii="Arial" w:hAnsi="Arial" w:cs="Arial"/>
                <w:bCs w:val="0"/>
                <w:spacing w:val="0"/>
                <w:shd w:val="clear" w:color="auto" w:fill="FFFFFF"/>
              </w:rPr>
              <w:t>环保设备：RTO废气燃烧装置、污水处理站</w:t>
            </w:r>
          </w:p>
          <w:p>
            <w:pPr>
              <w:pStyle w:val="10"/>
              <w:spacing w:line="240" w:lineRule="auto"/>
            </w:pPr>
            <w:r>
              <w:rPr>
                <w:rStyle w:val="15"/>
                <w:rFonts w:hint="eastAsia" w:ascii="Arial" w:hAnsi="Arial" w:cs="Arial"/>
                <w:bCs w:val="0"/>
                <w:spacing w:val="0"/>
                <w:shd w:val="clear" w:color="auto" w:fill="FFFFFF"/>
              </w:rPr>
              <w:t>消防设施：消防栓、灭火器、</w:t>
            </w:r>
            <w:r>
              <w:rPr>
                <w:rStyle w:val="15"/>
                <w:rFonts w:hint="eastAsia" w:ascii="Arial" w:hAnsi="Arial" w:cs="Arial"/>
                <w:bCs w:val="0"/>
                <w:spacing w:val="0"/>
                <w:shd w:val="clear" w:color="auto" w:fill="FFFFFF"/>
                <w:lang w:val="en-US" w:eastAsia="zh-CN"/>
              </w:rPr>
              <w:t>可燃气体报警器</w:t>
            </w:r>
            <w:r>
              <w:rPr>
                <w:rStyle w:val="15"/>
                <w:rFonts w:hint="eastAsia" w:ascii="Arial" w:hAnsi="Arial" w:cs="Arial"/>
                <w:bCs w:val="0"/>
                <w:spacing w:val="0"/>
                <w:shd w:val="clear" w:color="auto" w:fill="FFFFFF"/>
              </w:rPr>
              <w:t>等</w:t>
            </w:r>
          </w:p>
        </w:tc>
        <w:tc>
          <w:tcPr>
            <w:tcW w:w="8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8" w:hRule="atLeast"/>
        </w:trPr>
        <w:tc>
          <w:tcPr>
            <w:tcW w:w="2160" w:type="dxa"/>
            <w:vAlign w:val="center"/>
          </w:tcPr>
          <w:p>
            <w:pPr>
              <w:rPr>
                <w:rFonts w:hint="eastAsia" w:ascii="Times New Roman" w:hAnsi="Times New Roman" w:eastAsia="宋体" w:cs="Times New Roman"/>
                <w:kern w:val="2"/>
                <w:sz w:val="21"/>
                <w:lang w:val="en-US" w:eastAsia="zh-CN" w:bidi="ar-SA"/>
              </w:rPr>
            </w:pPr>
            <w:r>
              <w:rPr>
                <w:rFonts w:hint="eastAsia"/>
                <w:szCs w:val="21"/>
              </w:rPr>
              <w:t>沟通、参与和协商</w:t>
            </w:r>
          </w:p>
        </w:tc>
        <w:tc>
          <w:tcPr>
            <w:tcW w:w="1012" w:type="dxa"/>
            <w:vAlign w:val="center"/>
          </w:tcPr>
          <w:p>
            <w:pPr>
              <w:rPr>
                <w:szCs w:val="21"/>
              </w:rPr>
            </w:pPr>
            <w:r>
              <w:rPr>
                <w:rFonts w:hint="eastAsia"/>
                <w:szCs w:val="21"/>
              </w:rPr>
              <w:t>QEO7.4</w:t>
            </w:r>
          </w:p>
          <w:p>
            <w:pPr>
              <w:pStyle w:val="10"/>
              <w:rPr>
                <w:rFonts w:ascii="Times New Roman" w:hAnsi="Times New Roman" w:eastAsia="宋体" w:cs="Times New Roman"/>
                <w:bCs/>
                <w:spacing w:val="10"/>
                <w:kern w:val="2"/>
                <w:sz w:val="21"/>
                <w:lang w:val="en-US" w:eastAsia="zh-CN" w:bidi="ar-SA"/>
              </w:rPr>
            </w:pPr>
          </w:p>
        </w:tc>
        <w:tc>
          <w:tcPr>
            <w:tcW w:w="10642" w:type="dxa"/>
            <w:vAlign w:val="center"/>
          </w:tcPr>
          <w:p>
            <w:pPr>
              <w:spacing w:line="240" w:lineRule="auto"/>
              <w:ind w:firstLine="420" w:firstLineChars="200"/>
              <w:rPr>
                <w:szCs w:val="21"/>
              </w:rPr>
            </w:pPr>
            <w:r>
              <w:rPr>
                <w:rFonts w:hint="eastAsia"/>
                <w:szCs w:val="21"/>
              </w:rPr>
              <w:t>策划编制的程序文件DWXJ-CX04-2019</w:t>
            </w:r>
            <w:r>
              <w:rPr>
                <w:szCs w:val="21"/>
              </w:rPr>
              <w:t>《</w:t>
            </w:r>
            <w:r>
              <w:rPr>
                <w:rFonts w:hint="eastAsia"/>
                <w:szCs w:val="21"/>
              </w:rPr>
              <w:t>信息交流控制程序</w:t>
            </w:r>
            <w:r>
              <w:rPr>
                <w:szCs w:val="21"/>
              </w:rPr>
              <w:t>》</w:t>
            </w:r>
            <w:r>
              <w:rPr>
                <w:rFonts w:hint="eastAsia"/>
                <w:szCs w:val="21"/>
              </w:rPr>
              <w:t>及管理手册的相关章节规定了企业内、外部沟通和员工就职业健康安全事务参与、协商的要求，经查阅和交谈符合标准要求。</w:t>
            </w:r>
          </w:p>
          <w:p>
            <w:pPr>
              <w:spacing w:line="240" w:lineRule="auto"/>
              <w:ind w:firstLine="420" w:firstLineChars="200"/>
              <w:rPr>
                <w:szCs w:val="21"/>
              </w:rPr>
            </w:pPr>
            <w:r>
              <w:rPr>
                <w:rFonts w:hint="eastAsia"/>
                <w:szCs w:val="21"/>
              </w:rPr>
              <w:t>总经理负责在公司建立畅通的沟通渠道。管理者代表是公司内部和外部信息交流和沟通的负责人。综合部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综合部反馈。销售部负责顾客要求方面的有关事宜的沟通。</w:t>
            </w:r>
          </w:p>
          <w:p>
            <w:pPr>
              <w:spacing w:line="240" w:lineRule="auto"/>
              <w:ind w:firstLine="420" w:firstLineChars="200"/>
              <w:rPr>
                <w:rFonts w:hint="eastAsia" w:ascii="Times New Roman" w:hAnsi="Times New Roman" w:eastAsia="宋体" w:cs="Times New Roman"/>
                <w:kern w:val="2"/>
                <w:sz w:val="21"/>
                <w:lang w:val="en-US" w:eastAsia="zh-CN" w:bidi="ar-SA"/>
              </w:rPr>
            </w:pPr>
            <w:r>
              <w:rPr>
                <w:rFonts w:hint="eastAsia"/>
                <w:szCs w:val="21"/>
              </w:rPr>
              <w:t>目前各项沟通都较为及时、顺畅、效果较好。</w:t>
            </w:r>
          </w:p>
        </w:tc>
        <w:tc>
          <w:tcPr>
            <w:tcW w:w="8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ascii="宋体" w:hAnsi="宋体" w:cs="宋体"/>
                <w:szCs w:val="21"/>
              </w:rPr>
            </w:pPr>
            <w:r>
              <w:rPr>
                <w:rFonts w:hint="eastAsia" w:ascii="宋体" w:hAnsi="宋体" w:cs="宋体"/>
                <w:szCs w:val="21"/>
              </w:rPr>
              <w:t>管理评审</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QEO</w:t>
            </w:r>
          </w:p>
          <w:p>
            <w:pPr>
              <w:spacing w:line="280" w:lineRule="exact"/>
              <w:rPr>
                <w:szCs w:val="21"/>
              </w:rPr>
            </w:pPr>
            <w:r>
              <w:rPr>
                <w:rFonts w:hint="eastAsia"/>
                <w:szCs w:val="21"/>
              </w:rPr>
              <w:t>9.3</w:t>
            </w:r>
          </w:p>
          <w:p>
            <w:pPr>
              <w:spacing w:line="280" w:lineRule="exact"/>
              <w:rPr>
                <w:szCs w:val="21"/>
              </w:rPr>
            </w:pPr>
          </w:p>
          <w:p>
            <w:pPr>
              <w:spacing w:line="280" w:lineRule="exact"/>
              <w:rPr>
                <w:szCs w:val="21"/>
              </w:rPr>
            </w:pPr>
          </w:p>
          <w:p>
            <w:pPr>
              <w:spacing w:line="280" w:lineRule="exact"/>
            </w:pPr>
          </w:p>
        </w:tc>
        <w:tc>
          <w:tcPr>
            <w:tcW w:w="10642" w:type="dxa"/>
            <w:vAlign w:val="center"/>
          </w:tcPr>
          <w:p>
            <w:pPr>
              <w:spacing w:line="240" w:lineRule="auto"/>
              <w:rPr>
                <w:rFonts w:ascii="宋体" w:hAnsi="宋体" w:cs="宋体"/>
                <w:szCs w:val="21"/>
              </w:rPr>
            </w:pPr>
            <w:r>
              <w:rPr>
                <w:rFonts w:hint="eastAsia" w:ascii="宋体" w:hAnsi="宋体" w:cs="宋体"/>
                <w:szCs w:val="21"/>
              </w:rPr>
              <w:t>提供：</w:t>
            </w:r>
          </w:p>
          <w:p>
            <w:pPr>
              <w:spacing w:line="240" w:lineRule="auto"/>
              <w:rPr>
                <w:rFonts w:ascii="宋体" w:hAnsi="宋体" w:cs="宋体"/>
                <w:szCs w:val="21"/>
              </w:rPr>
            </w:pPr>
            <w:r>
              <w:rPr>
                <w:rFonts w:hint="eastAsia" w:ascii="宋体" w:hAnsi="宋体" w:cs="宋体"/>
                <w:szCs w:val="21"/>
              </w:rPr>
              <w:t>1.管理评审计划，</w:t>
            </w:r>
          </w:p>
          <w:p>
            <w:pPr>
              <w:spacing w:line="240" w:lineRule="auto"/>
              <w:rPr>
                <w:rFonts w:ascii="宋体" w:hAnsi="宋体" w:cs="宋体"/>
                <w:szCs w:val="21"/>
              </w:rPr>
            </w:pPr>
            <w:r>
              <w:rPr>
                <w:rFonts w:hint="eastAsia" w:ascii="宋体" w:hAnsi="宋体" w:cs="宋体"/>
                <w:szCs w:val="21"/>
              </w:rPr>
              <w:t>评审时间：计划2021年10月15日进行，评审方式：会议评审，</w:t>
            </w:r>
          </w:p>
          <w:p>
            <w:pPr>
              <w:spacing w:line="240" w:lineRule="auto"/>
              <w:rPr>
                <w:rFonts w:ascii="宋体" w:hAnsi="宋体" w:cs="宋体"/>
                <w:szCs w:val="21"/>
              </w:rPr>
            </w:pPr>
            <w:r>
              <w:rPr>
                <w:rFonts w:hint="eastAsia" w:ascii="宋体" w:hAnsi="宋体" w:cs="宋体"/>
                <w:szCs w:val="21"/>
              </w:rPr>
              <w:t>编制：</w:t>
            </w:r>
            <w:r>
              <w:rPr>
                <w:rFonts w:hint="eastAsia" w:ascii="宋体" w:hAnsi="宋体" w:cs="宋体"/>
                <w:szCs w:val="21"/>
                <w:lang w:val="en-US" w:eastAsia="zh-CN"/>
              </w:rPr>
              <w:t>综合部</w:t>
            </w:r>
            <w:r>
              <w:rPr>
                <w:rFonts w:hint="eastAsia" w:ascii="宋体" w:hAnsi="宋体" w:cs="宋体"/>
                <w:szCs w:val="21"/>
              </w:rPr>
              <w:t xml:space="preserve">   审核：</w:t>
            </w:r>
            <w:r>
              <w:rPr>
                <w:rFonts w:hint="eastAsia" w:ascii="宋体" w:hAnsi="宋体" w:cs="宋体"/>
                <w:bCs/>
                <w:szCs w:val="21"/>
                <w:lang w:eastAsia="zh-CN"/>
              </w:rPr>
              <w:t>周陌夫</w:t>
            </w:r>
            <w:r>
              <w:rPr>
                <w:rFonts w:hint="eastAsia" w:ascii="宋体" w:hAnsi="宋体" w:cs="宋体"/>
                <w:bCs/>
                <w:szCs w:val="21"/>
              </w:rPr>
              <w:t xml:space="preserve"> </w:t>
            </w:r>
            <w:r>
              <w:rPr>
                <w:rFonts w:hint="eastAsia" w:ascii="宋体" w:hAnsi="宋体" w:cs="宋体"/>
                <w:szCs w:val="21"/>
              </w:rPr>
              <w:t xml:space="preserve"> 批准：</w:t>
            </w:r>
            <w:r>
              <w:rPr>
                <w:rFonts w:hint="eastAsia" w:ascii="宋体" w:hAnsi="宋体" w:cs="宋体"/>
                <w:szCs w:val="21"/>
                <w:lang w:eastAsia="zh-CN"/>
              </w:rPr>
              <w:t>曹心斌</w:t>
            </w:r>
          </w:p>
          <w:p>
            <w:pPr>
              <w:spacing w:line="240" w:lineRule="auto"/>
              <w:rPr>
                <w:rFonts w:hint="eastAsia" w:ascii="宋体" w:hAnsi="宋体" w:cs="宋体"/>
                <w:szCs w:val="21"/>
              </w:rPr>
            </w:pPr>
            <w:r>
              <w:rPr>
                <w:rFonts w:hint="eastAsia" w:ascii="宋体" w:hAnsi="宋体" w:cs="宋体"/>
                <w:szCs w:val="21"/>
              </w:rPr>
              <w:t>参加人员包括公司总经理、管理者代表、各部门负责人，</w:t>
            </w:r>
          </w:p>
          <w:p>
            <w:pPr>
              <w:pStyle w:val="2"/>
              <w:rPr>
                <w:rFonts w:hint="eastAsia" w:ascii="宋体" w:hAnsi="宋体" w:eastAsia="宋体" w:cs="宋体"/>
                <w:szCs w:val="21"/>
                <w:lang w:eastAsia="zh-CN"/>
              </w:rPr>
            </w:pPr>
            <w:r>
              <w:rPr>
                <w:rFonts w:hint="eastAsia" w:ascii="宋体" w:hAnsi="宋体" w:eastAsia="宋体" w:cs="宋体"/>
                <w:szCs w:val="21"/>
                <w:lang w:eastAsia="zh-CN"/>
              </w:rPr>
              <w:drawing>
                <wp:anchor distT="0" distB="0" distL="114300" distR="114300" simplePos="0" relativeHeight="251659264" behindDoc="0" locked="0" layoutInCell="1" allowOverlap="1">
                  <wp:simplePos x="0" y="0"/>
                  <wp:positionH relativeFrom="column">
                    <wp:posOffset>95250</wp:posOffset>
                  </wp:positionH>
                  <wp:positionV relativeFrom="paragraph">
                    <wp:posOffset>60960</wp:posOffset>
                  </wp:positionV>
                  <wp:extent cx="1941195" cy="2588895"/>
                  <wp:effectExtent l="0" t="0" r="1905" b="1905"/>
                  <wp:wrapNone/>
                  <wp:docPr id="3" name="图片 3" descr="1 管评会议签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 管评会议签到"/>
                          <pic:cNvPicPr>
                            <a:picLocks noChangeAspect="1"/>
                          </pic:cNvPicPr>
                        </pic:nvPicPr>
                        <pic:blipFill>
                          <a:blip r:embed="rId6"/>
                          <a:stretch>
                            <a:fillRect/>
                          </a:stretch>
                        </pic:blipFill>
                        <pic:spPr>
                          <a:xfrm>
                            <a:off x="0" y="0"/>
                            <a:ext cx="1941195" cy="2588895"/>
                          </a:xfrm>
                          <a:prstGeom prst="rect">
                            <a:avLst/>
                          </a:prstGeom>
                        </pic:spPr>
                      </pic:pic>
                    </a:graphicData>
                  </a:graphic>
                </wp:anchor>
              </w:drawing>
            </w: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spacing w:line="240" w:lineRule="auto"/>
              <w:rPr>
                <w:rFonts w:ascii="宋体" w:hAnsi="宋体" w:cs="宋体"/>
                <w:szCs w:val="21"/>
              </w:rPr>
            </w:pPr>
            <w:r>
              <w:rPr>
                <w:rFonts w:hint="eastAsia" w:ascii="宋体" w:hAnsi="宋体" w:cs="宋体"/>
                <w:szCs w:val="21"/>
              </w:rPr>
              <w:t>计划中明确了评审内容和资料准备要求。</w:t>
            </w:r>
          </w:p>
          <w:p>
            <w:pPr>
              <w:numPr>
                <w:ilvl w:val="0"/>
                <w:numId w:val="3"/>
              </w:numPr>
              <w:spacing w:line="240" w:lineRule="auto"/>
              <w:rPr>
                <w:rFonts w:ascii="宋体" w:hAnsi="宋体" w:cs="宋体"/>
                <w:szCs w:val="21"/>
              </w:rPr>
            </w:pPr>
            <w:r>
              <w:rPr>
                <w:rFonts w:hint="eastAsia" w:ascii="宋体" w:hAnsi="宋体" w:cs="宋体"/>
                <w:szCs w:val="21"/>
              </w:rPr>
              <w:t>管理评审内容：</w:t>
            </w:r>
          </w:p>
          <w:p>
            <w:pPr>
              <w:spacing w:line="240" w:lineRule="auto"/>
              <w:ind w:leftChars="200"/>
              <w:rPr>
                <w:rFonts w:hint="eastAsia" w:ascii="宋体" w:hAnsi="宋体" w:cs="宋体"/>
                <w:szCs w:val="21"/>
              </w:rPr>
            </w:pPr>
            <w:r>
              <w:rPr>
                <w:rFonts w:hint="eastAsia" w:ascii="宋体" w:hAnsi="宋体" w:cs="宋体"/>
                <w:szCs w:val="21"/>
              </w:rPr>
              <w:t>a）以往管理评审所采取措施的情况；</w:t>
            </w:r>
          </w:p>
          <w:p>
            <w:pPr>
              <w:spacing w:line="240" w:lineRule="auto"/>
              <w:ind w:leftChars="200"/>
              <w:rPr>
                <w:rFonts w:hint="eastAsia" w:ascii="宋体" w:hAnsi="宋体" w:cs="宋体"/>
                <w:szCs w:val="21"/>
              </w:rPr>
            </w:pPr>
            <w:r>
              <w:rPr>
                <w:rFonts w:hint="eastAsia" w:ascii="宋体" w:hAnsi="宋体" w:cs="宋体"/>
                <w:szCs w:val="21"/>
              </w:rPr>
              <w:t>b）与管理体系相关的内外部因素的变化；</w:t>
            </w:r>
          </w:p>
          <w:p>
            <w:pPr>
              <w:spacing w:line="240" w:lineRule="auto"/>
              <w:ind w:leftChars="200"/>
              <w:rPr>
                <w:rFonts w:hint="eastAsia" w:ascii="宋体" w:hAnsi="宋体" w:cs="宋体"/>
                <w:szCs w:val="21"/>
              </w:rPr>
            </w:pPr>
            <w:r>
              <w:rPr>
                <w:rFonts w:hint="eastAsia" w:ascii="宋体" w:hAnsi="宋体" w:cs="宋体"/>
                <w:szCs w:val="21"/>
              </w:rPr>
              <w:t>c）下列有关管理体系绩效和有效性的信息，包括其趋势：</w:t>
            </w:r>
          </w:p>
          <w:p>
            <w:pPr>
              <w:spacing w:line="240" w:lineRule="auto"/>
              <w:ind w:leftChars="200"/>
              <w:rPr>
                <w:rFonts w:hint="eastAsia" w:ascii="宋体" w:hAnsi="宋体" w:cs="宋体"/>
                <w:szCs w:val="21"/>
              </w:rPr>
            </w:pPr>
            <w:r>
              <w:rPr>
                <w:rFonts w:hint="eastAsia" w:ascii="宋体" w:hAnsi="宋体" w:cs="宋体"/>
                <w:szCs w:val="21"/>
              </w:rPr>
              <w:t xml:space="preserve">  1）顾客满意和有关相关方的反馈；</w:t>
            </w:r>
          </w:p>
          <w:p>
            <w:pPr>
              <w:spacing w:line="240" w:lineRule="auto"/>
              <w:ind w:leftChars="200"/>
              <w:rPr>
                <w:rFonts w:hint="eastAsia" w:ascii="宋体" w:hAnsi="宋体" w:cs="宋体"/>
                <w:szCs w:val="21"/>
              </w:rPr>
            </w:pPr>
            <w:r>
              <w:rPr>
                <w:rFonts w:hint="eastAsia" w:ascii="宋体" w:hAnsi="宋体" w:cs="宋体"/>
                <w:szCs w:val="21"/>
              </w:rPr>
              <w:t xml:space="preserve">  2）管理目标的实现程度；</w:t>
            </w:r>
          </w:p>
          <w:p>
            <w:pPr>
              <w:spacing w:line="240" w:lineRule="auto"/>
              <w:ind w:leftChars="200"/>
              <w:rPr>
                <w:rFonts w:hint="eastAsia" w:ascii="宋体" w:hAnsi="宋体" w:cs="宋体"/>
                <w:szCs w:val="21"/>
              </w:rPr>
            </w:pPr>
            <w:r>
              <w:rPr>
                <w:rFonts w:hint="eastAsia" w:ascii="宋体" w:hAnsi="宋体" w:cs="宋体"/>
                <w:szCs w:val="21"/>
              </w:rPr>
              <w:t xml:space="preserve">  3）过程绩效以及产品和服务的合格情况；</w:t>
            </w:r>
          </w:p>
          <w:p>
            <w:pPr>
              <w:spacing w:line="240" w:lineRule="auto"/>
              <w:ind w:leftChars="200"/>
              <w:rPr>
                <w:rFonts w:hint="eastAsia" w:ascii="宋体" w:hAnsi="宋体" w:cs="宋体"/>
                <w:szCs w:val="21"/>
              </w:rPr>
            </w:pPr>
            <w:r>
              <w:rPr>
                <w:rFonts w:hint="eastAsia" w:ascii="宋体" w:hAnsi="宋体" w:cs="宋体"/>
                <w:szCs w:val="21"/>
              </w:rPr>
              <w:t xml:space="preserve">  4）不合格及纠正措施；</w:t>
            </w:r>
          </w:p>
          <w:p>
            <w:pPr>
              <w:spacing w:line="240" w:lineRule="auto"/>
              <w:ind w:leftChars="200"/>
              <w:rPr>
                <w:rFonts w:hint="eastAsia" w:ascii="宋体" w:hAnsi="宋体" w:cs="宋体"/>
                <w:szCs w:val="21"/>
              </w:rPr>
            </w:pPr>
            <w:r>
              <w:rPr>
                <w:rFonts w:hint="eastAsia" w:ascii="宋体" w:hAnsi="宋体" w:cs="宋体"/>
                <w:szCs w:val="21"/>
              </w:rPr>
              <w:t xml:space="preserve">  5）监视和测量结果；</w:t>
            </w:r>
          </w:p>
          <w:p>
            <w:pPr>
              <w:spacing w:line="240" w:lineRule="auto"/>
              <w:ind w:leftChars="200"/>
              <w:rPr>
                <w:rFonts w:hint="eastAsia" w:ascii="宋体" w:hAnsi="宋体" w:cs="宋体"/>
                <w:szCs w:val="21"/>
              </w:rPr>
            </w:pPr>
            <w:r>
              <w:rPr>
                <w:rFonts w:hint="eastAsia" w:ascii="宋体" w:hAnsi="宋体" w:cs="宋体"/>
                <w:szCs w:val="21"/>
              </w:rPr>
              <w:t xml:space="preserve">  6）审核结果；</w:t>
            </w:r>
          </w:p>
          <w:p>
            <w:pPr>
              <w:spacing w:line="240" w:lineRule="auto"/>
              <w:ind w:leftChars="200"/>
              <w:rPr>
                <w:rFonts w:hint="eastAsia" w:ascii="宋体" w:hAnsi="宋体" w:cs="宋体"/>
                <w:szCs w:val="21"/>
              </w:rPr>
            </w:pPr>
            <w:r>
              <w:rPr>
                <w:rFonts w:hint="eastAsia" w:ascii="宋体" w:hAnsi="宋体" w:cs="宋体"/>
                <w:szCs w:val="21"/>
              </w:rPr>
              <w:t xml:space="preserve">  7）外部供方的绩效。</w:t>
            </w:r>
          </w:p>
          <w:p>
            <w:pPr>
              <w:spacing w:line="240" w:lineRule="auto"/>
              <w:ind w:leftChars="200"/>
              <w:rPr>
                <w:rFonts w:hint="eastAsia" w:ascii="宋体" w:hAnsi="宋体" w:cs="宋体"/>
                <w:szCs w:val="21"/>
              </w:rPr>
            </w:pPr>
            <w:r>
              <w:rPr>
                <w:rFonts w:hint="eastAsia" w:ascii="宋体" w:hAnsi="宋体" w:cs="宋体"/>
                <w:szCs w:val="21"/>
              </w:rPr>
              <w:t>d）资源的充分性；</w:t>
            </w:r>
          </w:p>
          <w:p>
            <w:pPr>
              <w:spacing w:line="240" w:lineRule="auto"/>
              <w:ind w:leftChars="200"/>
              <w:rPr>
                <w:rFonts w:hint="eastAsia" w:ascii="宋体" w:hAnsi="宋体" w:cs="宋体"/>
                <w:szCs w:val="21"/>
              </w:rPr>
            </w:pPr>
            <w:r>
              <w:rPr>
                <w:rFonts w:hint="eastAsia" w:ascii="宋体" w:hAnsi="宋体" w:cs="宋体"/>
                <w:szCs w:val="21"/>
              </w:rPr>
              <w:t>e）应对风险和机遇所采取措施的有效性；</w:t>
            </w:r>
          </w:p>
          <w:p>
            <w:pPr>
              <w:spacing w:line="240" w:lineRule="auto"/>
              <w:ind w:leftChars="200"/>
              <w:rPr>
                <w:rFonts w:hint="eastAsia" w:ascii="宋体" w:hAnsi="宋体" w:cs="宋体"/>
                <w:szCs w:val="21"/>
              </w:rPr>
            </w:pPr>
            <w:r>
              <w:rPr>
                <w:rFonts w:hint="eastAsia" w:ascii="宋体" w:hAnsi="宋体" w:cs="宋体"/>
                <w:szCs w:val="21"/>
              </w:rPr>
              <w:t>f）改进的机会。</w:t>
            </w:r>
          </w:p>
          <w:p>
            <w:pPr>
              <w:spacing w:line="240" w:lineRule="auto"/>
              <w:ind w:leftChars="200"/>
              <w:rPr>
                <w:rFonts w:hint="eastAsia" w:ascii="宋体" w:hAnsi="宋体" w:cs="宋体"/>
                <w:szCs w:val="21"/>
              </w:rPr>
            </w:pPr>
            <w:r>
              <w:rPr>
                <w:rFonts w:hint="eastAsia" w:ascii="宋体" w:hAnsi="宋体" w:cs="宋体"/>
                <w:szCs w:val="21"/>
              </w:rPr>
              <w:t>g）与环境、职业健康安全有关的其他重要事宜；</w:t>
            </w:r>
          </w:p>
          <w:p>
            <w:pPr>
              <w:spacing w:line="240" w:lineRule="auto"/>
              <w:ind w:leftChars="200"/>
              <w:rPr>
                <w:rFonts w:hint="eastAsia" w:ascii="宋体" w:hAnsi="宋体" w:cs="宋体"/>
                <w:szCs w:val="21"/>
              </w:rPr>
            </w:pPr>
            <w:r>
              <w:rPr>
                <w:rFonts w:hint="eastAsia" w:ascii="宋体" w:hAnsi="宋体" w:cs="宋体"/>
                <w:szCs w:val="21"/>
              </w:rPr>
              <w:t>h）重要环境因素、不可接受风险的控制</w:t>
            </w:r>
          </w:p>
          <w:p>
            <w:pPr>
              <w:spacing w:line="240" w:lineRule="auto"/>
              <w:ind w:leftChars="200"/>
              <w:rPr>
                <w:rFonts w:hint="eastAsia" w:ascii="宋体" w:hAnsi="宋体" w:cs="宋体"/>
                <w:szCs w:val="21"/>
              </w:rPr>
            </w:pPr>
            <w:r>
              <w:rPr>
                <w:rFonts w:hint="eastAsia" w:ascii="宋体" w:hAnsi="宋体" w:cs="宋体"/>
                <w:szCs w:val="21"/>
              </w:rPr>
              <w:t>i）运行控制的效果</w:t>
            </w:r>
          </w:p>
          <w:p>
            <w:pPr>
              <w:spacing w:line="240" w:lineRule="auto"/>
              <w:ind w:leftChars="200"/>
              <w:rPr>
                <w:rFonts w:hint="eastAsia" w:ascii="宋体" w:hAnsi="宋体" w:cs="宋体"/>
                <w:szCs w:val="21"/>
              </w:rPr>
            </w:pPr>
            <w:r>
              <w:rPr>
                <w:rFonts w:hint="eastAsia" w:ascii="宋体" w:hAnsi="宋体" w:cs="宋体"/>
                <w:szCs w:val="21"/>
              </w:rPr>
              <w:t>j）合规性评价的结果</w:t>
            </w:r>
          </w:p>
          <w:p>
            <w:pPr>
              <w:spacing w:line="240" w:lineRule="auto"/>
              <w:ind w:leftChars="200"/>
              <w:rPr>
                <w:rFonts w:hint="eastAsia" w:ascii="宋体" w:hAnsi="宋体" w:cs="宋体"/>
                <w:szCs w:val="21"/>
              </w:rPr>
            </w:pPr>
            <w:r>
              <w:rPr>
                <w:rFonts w:hint="eastAsia" w:ascii="宋体" w:hAnsi="宋体" w:cs="宋体"/>
                <w:szCs w:val="21"/>
              </w:rPr>
              <w:t>k）组织的职业健康安全绩效、环境绩效</w:t>
            </w:r>
          </w:p>
          <w:p>
            <w:pPr>
              <w:spacing w:line="240" w:lineRule="auto"/>
              <w:rPr>
                <w:rFonts w:ascii="宋体" w:hAnsi="宋体" w:cs="宋体"/>
                <w:szCs w:val="21"/>
              </w:rPr>
            </w:pPr>
            <w:r>
              <w:rPr>
                <w:rFonts w:hint="eastAsia" w:ascii="宋体" w:hAnsi="宋体" w:cs="宋体"/>
                <w:szCs w:val="21"/>
              </w:rPr>
              <w:t>总经理作会议总结。提供管理评审报告。</w:t>
            </w:r>
          </w:p>
          <w:p>
            <w:pPr>
              <w:spacing w:line="240" w:lineRule="auto"/>
              <w:rPr>
                <w:rFonts w:ascii="宋体" w:hAnsi="宋体" w:cs="宋体"/>
                <w:szCs w:val="21"/>
              </w:rPr>
            </w:pPr>
            <w:r>
              <w:rPr>
                <w:rFonts w:hint="eastAsia" w:ascii="宋体" w:hAnsi="宋体" w:cs="宋体"/>
                <w:szCs w:val="21"/>
              </w:rPr>
              <w:t>管理评审结论：</w:t>
            </w:r>
            <w:r>
              <w:rPr>
                <w:rFonts w:ascii="宋体" w:hAnsi="宋体" w:cs="宋体"/>
                <w:szCs w:val="21"/>
              </w:rPr>
              <w:t>通过本次评审，最终得出本公司管理体系是适宜的、充分的、有效的，方针和目标是适宜的和有效的。但为了更好的运行体系，特提出以下要求：</w:t>
            </w:r>
          </w:p>
          <w:p>
            <w:pPr>
              <w:spacing w:line="240" w:lineRule="auto"/>
              <w:rPr>
                <w:rFonts w:ascii="宋体" w:hAnsi="宋体" w:cs="宋体"/>
                <w:szCs w:val="21"/>
              </w:rPr>
            </w:pPr>
            <w:r>
              <w:rPr>
                <w:rFonts w:ascii="宋体" w:hAnsi="宋体" w:cs="宋体"/>
                <w:szCs w:val="21"/>
              </w:rPr>
              <w:t>体系运行过程中</w:t>
            </w:r>
            <w:r>
              <w:rPr>
                <w:rFonts w:hint="eastAsia" w:ascii="宋体" w:hAnsi="宋体" w:cs="宋体"/>
                <w:szCs w:val="21"/>
              </w:rPr>
              <w:t>全体</w:t>
            </w:r>
            <w:r>
              <w:rPr>
                <w:rFonts w:ascii="宋体" w:hAnsi="宋体" w:cs="宋体"/>
                <w:szCs w:val="21"/>
              </w:rPr>
              <w:t>人员都有责任对</w:t>
            </w:r>
            <w:r>
              <w:rPr>
                <w:rFonts w:hint="eastAsia" w:ascii="宋体" w:hAnsi="宋体" w:cs="宋体"/>
                <w:szCs w:val="21"/>
              </w:rPr>
              <w:t>体系文件</w:t>
            </w:r>
            <w:r>
              <w:rPr>
                <w:rFonts w:ascii="宋体" w:hAnsi="宋体" w:cs="宋体"/>
                <w:szCs w:val="21"/>
              </w:rPr>
              <w:t>的不适宜之处提出修改建议，来进一步完善体系文件</w:t>
            </w:r>
            <w:r>
              <w:rPr>
                <w:rFonts w:hint="eastAsia" w:ascii="宋体" w:hAnsi="宋体" w:cs="宋体"/>
                <w:szCs w:val="21"/>
              </w:rPr>
              <w:t>。</w:t>
            </w:r>
          </w:p>
        </w:tc>
        <w:tc>
          <w:tcPr>
            <w:tcW w:w="8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160" w:type="dxa"/>
          </w:tcPr>
          <w:p>
            <w:pPr>
              <w:spacing w:line="280" w:lineRule="exact"/>
              <w:rPr>
                <w:rFonts w:hint="eastAsia" w:ascii="宋体" w:hAnsi="宋体" w:cs="宋体"/>
                <w:szCs w:val="21"/>
                <w:lang w:val="en-US" w:eastAsia="zh-CN"/>
              </w:rPr>
            </w:pPr>
            <w:r>
              <w:rPr>
                <w:rFonts w:hint="eastAsia" w:ascii="宋体" w:hAnsi="宋体" w:cs="宋体"/>
                <w:szCs w:val="21"/>
                <w:lang w:val="en-US" w:eastAsia="zh-CN"/>
              </w:rPr>
              <w:t>改进</w:t>
            </w:r>
          </w:p>
          <w:p>
            <w:pPr>
              <w:spacing w:line="280" w:lineRule="exact"/>
              <w:rPr>
                <w:rFonts w:ascii="宋体" w:hAnsi="宋体" w:cs="宋体"/>
                <w:szCs w:val="21"/>
              </w:rPr>
            </w:pPr>
            <w:r>
              <w:rPr>
                <w:rFonts w:hint="eastAsia" w:ascii="宋体" w:hAnsi="宋体" w:cs="宋体"/>
                <w:szCs w:val="21"/>
              </w:rPr>
              <w:t>总则</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QEO 10.1</w:t>
            </w:r>
          </w:p>
          <w:p>
            <w:pPr>
              <w:spacing w:line="280" w:lineRule="exact"/>
            </w:pPr>
          </w:p>
        </w:tc>
        <w:tc>
          <w:tcPr>
            <w:tcW w:w="10642" w:type="dxa"/>
          </w:tcPr>
          <w:p>
            <w:pPr>
              <w:spacing w:line="240" w:lineRule="auto"/>
              <w:ind w:firstLine="420" w:firstLineChars="200"/>
              <w:rPr>
                <w:rFonts w:ascii="宋体" w:hAnsi="宋体" w:cs="宋体"/>
                <w:szCs w:val="21"/>
              </w:rPr>
            </w:pPr>
            <w:r>
              <w:rPr>
                <w:rFonts w:hint="eastAsia" w:ascii="宋体" w:hAnsi="宋体" w:cs="宋体"/>
                <w:szCs w:val="21"/>
              </w:rPr>
              <w:t>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w:t>
            </w:r>
            <w:r>
              <w:rPr>
                <w:rFonts w:hint="eastAsia" w:ascii="宋体" w:hAnsi="宋体" w:cs="宋体"/>
                <w:szCs w:val="21"/>
                <w:lang w:val="en-US" w:eastAsia="zh-CN"/>
              </w:rPr>
              <w:t xml:space="preserve"> </w:t>
            </w:r>
            <w:r>
              <w:rPr>
                <w:rFonts w:hint="eastAsia" w:ascii="宋体" w:hAnsi="宋体" w:cs="宋体"/>
                <w:szCs w:val="21"/>
              </w:rPr>
              <w:t xml:space="preserve">在应关注的持续改进的需求和机遇。  </w:t>
            </w:r>
          </w:p>
          <w:p>
            <w:pPr>
              <w:spacing w:line="240" w:lineRule="auto"/>
              <w:rPr>
                <w:rFonts w:ascii="宋体" w:hAnsi="宋体" w:cs="宋体"/>
                <w:szCs w:val="21"/>
              </w:rPr>
            </w:pPr>
            <w:r>
              <w:rPr>
                <w:rFonts w:hint="eastAsia" w:ascii="宋体" w:hAnsi="宋体" w:cs="宋体"/>
                <w:szCs w:val="21"/>
              </w:rPr>
              <w:t xml:space="preserve"> ——具体事实可见审核10.2条款记录。</w:t>
            </w:r>
          </w:p>
        </w:tc>
        <w:tc>
          <w:tcPr>
            <w:tcW w:w="8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持续改进</w:t>
            </w:r>
          </w:p>
        </w:tc>
        <w:tc>
          <w:tcPr>
            <w:tcW w:w="1012" w:type="dxa"/>
          </w:tcPr>
          <w:p>
            <w:pPr>
              <w:spacing w:line="280" w:lineRule="exact"/>
              <w:rPr>
                <w:szCs w:val="21"/>
              </w:rPr>
            </w:pPr>
            <w:r>
              <w:rPr>
                <w:rFonts w:hint="eastAsia"/>
                <w:szCs w:val="21"/>
              </w:rPr>
              <w:t>QEO</w:t>
            </w:r>
          </w:p>
          <w:p>
            <w:pPr>
              <w:spacing w:line="280" w:lineRule="exact"/>
              <w:rPr>
                <w:szCs w:val="21"/>
              </w:rPr>
            </w:pPr>
            <w:r>
              <w:rPr>
                <w:rFonts w:hint="eastAsia"/>
                <w:szCs w:val="21"/>
              </w:rPr>
              <w:t>10.3</w:t>
            </w:r>
          </w:p>
        </w:tc>
        <w:tc>
          <w:tcPr>
            <w:tcW w:w="10642" w:type="dxa"/>
            <w:vAlign w:val="center"/>
          </w:tcPr>
          <w:p>
            <w:pPr>
              <w:spacing w:line="240" w:lineRule="auto"/>
              <w:rPr>
                <w:rFonts w:ascii="华文中宋" w:hAnsi="华文中宋" w:eastAsia="华文中宋" w:cs="宋体"/>
                <w:bCs/>
                <w:color w:val="000000"/>
              </w:rPr>
            </w:pPr>
            <w:r>
              <w:rPr>
                <w:rFonts w:hint="eastAsia" w:ascii="宋体" w:hAnsi="宋体" w:cs="宋体"/>
                <w:szCs w:val="21"/>
              </w:rPr>
              <w:t>为使质量/环境/职业健康安全管理体系实现预期结果和提高顾客满意，公司识别并选择改进的机会，采取包括改进产品和服务，纠正、预防或减少非预期情况给组织带来的不利影响等措施，改进体系的绩效和有效性。</w:t>
            </w:r>
          </w:p>
          <w:p>
            <w:pPr>
              <w:spacing w:line="240" w:lineRule="auto"/>
              <w:rPr>
                <w:rFonts w:ascii="宋体" w:hAnsi="宋体" w:cs="宋体"/>
                <w:szCs w:val="21"/>
              </w:rPr>
            </w:pPr>
            <w:r>
              <w:rPr>
                <w:rFonts w:hint="eastAsia" w:ascii="宋体" w:hAnsi="宋体" w:cs="宋体"/>
                <w:szCs w:val="21"/>
              </w:rPr>
              <w:t>根据不同过程、不同产品和不同要求，采取不同的方法进行监视、测量和分析。</w:t>
            </w:r>
          </w:p>
          <w:p>
            <w:pPr>
              <w:spacing w:line="240" w:lineRule="auto"/>
              <w:rPr>
                <w:rFonts w:ascii="宋体" w:hAnsi="宋体" w:cs="宋体"/>
                <w:szCs w:val="21"/>
              </w:rPr>
            </w:pPr>
            <w:r>
              <w:rPr>
                <w:rFonts w:hint="eastAsia" w:ascii="宋体" w:hAnsi="宋体" w:cs="宋体"/>
                <w:szCs w:val="21"/>
              </w:rPr>
              <w:t>公司利用管理方针、目标、内审和外审、数据分析、纠正和预防措施以及管理评审，识别任何改进的机会，持续改进管理体系的适宜性、充分性和有效性。详见相关条款审核记录。</w:t>
            </w:r>
          </w:p>
        </w:tc>
        <w:tc>
          <w:tcPr>
            <w:tcW w:w="8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2160" w:type="dxa"/>
          </w:tcPr>
          <w:p>
            <w:pPr>
              <w:spacing w:line="280" w:lineRule="exact"/>
              <w:rPr>
                <w:rFonts w:ascii="宋体" w:hAnsi="宋体" w:cs="宋体"/>
                <w:szCs w:val="21"/>
              </w:rPr>
            </w:pPr>
            <w:r>
              <w:rPr>
                <w:rFonts w:hint="eastAsia"/>
                <w:sz w:val="24"/>
                <w:szCs w:val="24"/>
              </w:rPr>
              <w:t>一阶段问题验证/投诉或事故/政府主管部门监督抽查情况</w:t>
            </w:r>
          </w:p>
        </w:tc>
        <w:tc>
          <w:tcPr>
            <w:tcW w:w="1012" w:type="dxa"/>
          </w:tcPr>
          <w:p>
            <w:pPr>
              <w:spacing w:line="280" w:lineRule="exact"/>
            </w:pPr>
          </w:p>
        </w:tc>
        <w:tc>
          <w:tcPr>
            <w:tcW w:w="10642" w:type="dxa"/>
            <w:vAlign w:val="center"/>
          </w:tcPr>
          <w:p>
            <w:pPr>
              <w:pStyle w:val="10"/>
              <w:spacing w:line="240" w:lineRule="auto"/>
            </w:pPr>
            <w:r>
              <w:rPr>
                <w:rFonts w:hint="eastAsia"/>
              </w:rPr>
              <w:t>一阶段无问题</w:t>
            </w:r>
          </w:p>
          <w:p>
            <w:pPr>
              <w:pStyle w:val="10"/>
              <w:spacing w:line="240" w:lineRule="auto"/>
            </w:pPr>
            <w:r>
              <w:rPr>
                <w:rFonts w:hint="eastAsia"/>
              </w:rPr>
              <w:t>公司管理体系自运行以来，未发生质量、环境、职业健康安全事故</w:t>
            </w:r>
            <w:bookmarkStart w:id="2" w:name="_GoBack"/>
            <w:bookmarkEnd w:id="2"/>
          </w:p>
          <w:p>
            <w:pPr>
              <w:pStyle w:val="10"/>
              <w:spacing w:line="240" w:lineRule="auto"/>
            </w:pPr>
            <w:r>
              <w:rPr>
                <w:rFonts w:hint="eastAsia"/>
              </w:rPr>
              <w:t>管理体系运行期间未发生顾客及相关方投诉情况</w:t>
            </w:r>
          </w:p>
          <w:p>
            <w:pPr>
              <w:pStyle w:val="10"/>
              <w:spacing w:line="240" w:lineRule="auto"/>
            </w:pPr>
            <w:r>
              <w:rPr>
                <w:rFonts w:hint="eastAsia"/>
              </w:rPr>
              <w:t>目前没有上级主管部门对公司的在质量、环境、职业健康安全监督抽查</w:t>
            </w:r>
          </w:p>
          <w:p>
            <w:pPr>
              <w:pStyle w:val="10"/>
              <w:spacing w:line="240" w:lineRule="auto"/>
            </w:pPr>
            <w:r>
              <w:rPr>
                <w:rFonts w:hint="eastAsia"/>
              </w:rPr>
              <w:t>目前公司经营过程中没有发生违反相关法律法规及其他要求的情况</w:t>
            </w:r>
          </w:p>
        </w:tc>
        <w:tc>
          <w:tcPr>
            <w:tcW w:w="895" w:type="dxa"/>
          </w:tcPr>
          <w:p>
            <w:r>
              <w:rPr>
                <w:rFonts w:hint="eastAsia"/>
                <w:lang w:val="en-US" w:eastAsia="zh-CN"/>
              </w:rPr>
              <w:t>符合</w:t>
            </w: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HAAPML+ºÚÌå">
    <w:altName w:val="微软雅黑"/>
    <w:panose1 w:val="00000000000000000000"/>
    <w:charset w:val="01"/>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a:noFill/>
                  <a:ln>
                    <a:noFill/>
                  </a:ln>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a:effectLst/>
                    </wps:spPr>
                    <wps:txbx>
                      <w:txbxContent>
                        <w:p>
                          <w:pPr>
                            <w:rPr>
                              <w:sz w:val="18"/>
                              <w:szCs w:val="18"/>
                            </w:rPr>
                          </w:pPr>
                          <w:r>
                            <w:rPr>
                              <w:rFonts w:hint="eastAsia"/>
                              <w:sz w:val="18"/>
                              <w:szCs w:val="18"/>
                            </w:rPr>
                            <w:t>ISC-B-II-12(05版）</w:t>
                          </w:r>
                        </w:p>
                      </w:txbxContent>
                    </wps:txbx>
                    <wps:bodyPr vert="horz" wrap="square" anchor="t" anchorCtr="0" upright="1"/>
                  </wps:wsp>
                </a:graphicData>
              </a:graphic>
            </wp:anchor>
          </w:drawing>
        </mc:Choice>
        <mc:Fallback>
          <w:pict>
            <v:shape id="_x0000_s1026" o:spid="_x0000_s1026" o:spt="202" type="#_x0000_t202" style="position:absolute;left:0pt;margin-left:620.4pt;margin-top:12.55pt;height:20.2pt;width:102.7pt;z-index:251660288;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QkH4RNgAAAAL&#10;AQAADwAAAAAAAAABACAAAAAiAAAAZHJzL2Rvd25yZXYueG1sUEsBAhQAFAAAAAgAh07iQOZzOZbj&#10;AQAAuAMAAA4AAAAAAAAAAQAgAAAAJwEAAGRycy9lMm9Eb2MueG1sUEsFBgAAAAAGAAYAWQEAAHwF&#10;A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0"/>
      </w:pBdr>
      <w:spacing w:line="320" w:lineRule="exact"/>
      <w:ind w:firstLine="756" w:firstLineChars="400"/>
      <w:jc w:val="left"/>
    </w:pPr>
    <w:r>
      <w:rPr>
        <w:rStyle w:val="14"/>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9E9A1C"/>
    <w:multiLevelType w:val="singleLevel"/>
    <w:tmpl w:val="A79E9A1C"/>
    <w:lvl w:ilvl="0" w:tentative="0">
      <w:start w:val="1"/>
      <w:numFmt w:val="decimal"/>
      <w:suff w:val="nothing"/>
      <w:lvlText w:val="%1．"/>
      <w:lvlJc w:val="left"/>
      <w:pPr>
        <w:ind w:left="0" w:firstLine="400"/>
      </w:pPr>
      <w:rPr>
        <w:rFonts w:hint="default"/>
      </w:rPr>
    </w:lvl>
  </w:abstractNum>
  <w:abstractNum w:abstractNumId="1">
    <w:nsid w:val="621A606B"/>
    <w:multiLevelType w:val="singleLevel"/>
    <w:tmpl w:val="621A606B"/>
    <w:lvl w:ilvl="0" w:tentative="0">
      <w:start w:val="2"/>
      <w:numFmt w:val="decimal"/>
      <w:lvlText w:val="%1."/>
      <w:lvlJc w:val="left"/>
      <w:pPr>
        <w:tabs>
          <w:tab w:val="left" w:pos="312"/>
        </w:tabs>
      </w:pPr>
    </w:lvl>
  </w:abstractNum>
  <w:abstractNum w:abstractNumId="2">
    <w:nsid w:val="68482BF6"/>
    <w:multiLevelType w:val="singleLevel"/>
    <w:tmpl w:val="68482BF6"/>
    <w:lvl w:ilvl="0" w:tentative="0">
      <w:start w:val="1"/>
      <w:numFmt w:val="decimal"/>
      <w:suff w:val="nothing"/>
      <w:lvlText w:val="%1．"/>
      <w:lvlJc w:val="left"/>
      <w:pPr>
        <w:ind w:left="0" w:firstLine="4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36757"/>
    <w:rsid w:val="00063031"/>
    <w:rsid w:val="000861C6"/>
    <w:rsid w:val="0009306C"/>
    <w:rsid w:val="000E6BC4"/>
    <w:rsid w:val="000F2BB4"/>
    <w:rsid w:val="00102F7A"/>
    <w:rsid w:val="001257E1"/>
    <w:rsid w:val="001262E9"/>
    <w:rsid w:val="001946AD"/>
    <w:rsid w:val="00197DF9"/>
    <w:rsid w:val="001A2D7F"/>
    <w:rsid w:val="001B38D9"/>
    <w:rsid w:val="001C4DE0"/>
    <w:rsid w:val="001C6BD6"/>
    <w:rsid w:val="00225438"/>
    <w:rsid w:val="0025251D"/>
    <w:rsid w:val="0028575A"/>
    <w:rsid w:val="002968C6"/>
    <w:rsid w:val="002B2FFC"/>
    <w:rsid w:val="002D5AD2"/>
    <w:rsid w:val="002E0791"/>
    <w:rsid w:val="00305681"/>
    <w:rsid w:val="0033182F"/>
    <w:rsid w:val="00337922"/>
    <w:rsid w:val="0034065E"/>
    <w:rsid w:val="00340867"/>
    <w:rsid w:val="0037469A"/>
    <w:rsid w:val="00376191"/>
    <w:rsid w:val="00380837"/>
    <w:rsid w:val="003907D0"/>
    <w:rsid w:val="003A0C32"/>
    <w:rsid w:val="003A198A"/>
    <w:rsid w:val="003B676E"/>
    <w:rsid w:val="003D1B53"/>
    <w:rsid w:val="003D4ACE"/>
    <w:rsid w:val="003F0455"/>
    <w:rsid w:val="003F15E9"/>
    <w:rsid w:val="00410914"/>
    <w:rsid w:val="0043136D"/>
    <w:rsid w:val="004502C9"/>
    <w:rsid w:val="004B0A04"/>
    <w:rsid w:val="004F4F64"/>
    <w:rsid w:val="004F5D79"/>
    <w:rsid w:val="00513CA4"/>
    <w:rsid w:val="00536930"/>
    <w:rsid w:val="00540703"/>
    <w:rsid w:val="00564E53"/>
    <w:rsid w:val="00570308"/>
    <w:rsid w:val="0058650C"/>
    <w:rsid w:val="00591A90"/>
    <w:rsid w:val="005A7C88"/>
    <w:rsid w:val="005B4A17"/>
    <w:rsid w:val="00601651"/>
    <w:rsid w:val="0061541D"/>
    <w:rsid w:val="0061669C"/>
    <w:rsid w:val="00626214"/>
    <w:rsid w:val="00644FE2"/>
    <w:rsid w:val="0067640C"/>
    <w:rsid w:val="00694953"/>
    <w:rsid w:val="006E41CD"/>
    <w:rsid w:val="006E678B"/>
    <w:rsid w:val="006E6C19"/>
    <w:rsid w:val="006F21CE"/>
    <w:rsid w:val="00702EB2"/>
    <w:rsid w:val="007148F7"/>
    <w:rsid w:val="00734D4F"/>
    <w:rsid w:val="007757F3"/>
    <w:rsid w:val="0077733A"/>
    <w:rsid w:val="0079159C"/>
    <w:rsid w:val="00796277"/>
    <w:rsid w:val="007C2B82"/>
    <w:rsid w:val="007E1052"/>
    <w:rsid w:val="007E4106"/>
    <w:rsid w:val="007E6AEB"/>
    <w:rsid w:val="008312B1"/>
    <w:rsid w:val="00832B13"/>
    <w:rsid w:val="00852118"/>
    <w:rsid w:val="0085711D"/>
    <w:rsid w:val="00863B44"/>
    <w:rsid w:val="008660E8"/>
    <w:rsid w:val="00892717"/>
    <w:rsid w:val="00896F40"/>
    <w:rsid w:val="008973EE"/>
    <w:rsid w:val="008A747E"/>
    <w:rsid w:val="008E77BA"/>
    <w:rsid w:val="00923F05"/>
    <w:rsid w:val="00935977"/>
    <w:rsid w:val="0094042F"/>
    <w:rsid w:val="00940E1C"/>
    <w:rsid w:val="00956A90"/>
    <w:rsid w:val="00966C57"/>
    <w:rsid w:val="00971600"/>
    <w:rsid w:val="00981B59"/>
    <w:rsid w:val="00987123"/>
    <w:rsid w:val="00991AC9"/>
    <w:rsid w:val="009973B4"/>
    <w:rsid w:val="009A6A93"/>
    <w:rsid w:val="009B5C67"/>
    <w:rsid w:val="009C28C1"/>
    <w:rsid w:val="009D1557"/>
    <w:rsid w:val="009F7EED"/>
    <w:rsid w:val="00A07CD3"/>
    <w:rsid w:val="00A10037"/>
    <w:rsid w:val="00A4239C"/>
    <w:rsid w:val="00AC393F"/>
    <w:rsid w:val="00AC3A00"/>
    <w:rsid w:val="00AC6AE3"/>
    <w:rsid w:val="00AD4E0E"/>
    <w:rsid w:val="00AF0308"/>
    <w:rsid w:val="00AF0AAB"/>
    <w:rsid w:val="00AF69DA"/>
    <w:rsid w:val="00B0224F"/>
    <w:rsid w:val="00B02826"/>
    <w:rsid w:val="00B02A06"/>
    <w:rsid w:val="00B03C07"/>
    <w:rsid w:val="00B047FD"/>
    <w:rsid w:val="00B0674D"/>
    <w:rsid w:val="00B160F8"/>
    <w:rsid w:val="00B20FE2"/>
    <w:rsid w:val="00B61787"/>
    <w:rsid w:val="00B74858"/>
    <w:rsid w:val="00BB6ACB"/>
    <w:rsid w:val="00BD0A6B"/>
    <w:rsid w:val="00BD2C55"/>
    <w:rsid w:val="00BD6770"/>
    <w:rsid w:val="00BE11BF"/>
    <w:rsid w:val="00BE2194"/>
    <w:rsid w:val="00BE7A80"/>
    <w:rsid w:val="00BF597E"/>
    <w:rsid w:val="00C062AE"/>
    <w:rsid w:val="00C13296"/>
    <w:rsid w:val="00C23F26"/>
    <w:rsid w:val="00C35090"/>
    <w:rsid w:val="00C360DB"/>
    <w:rsid w:val="00C469A2"/>
    <w:rsid w:val="00C51A36"/>
    <w:rsid w:val="00C55228"/>
    <w:rsid w:val="00C7523D"/>
    <w:rsid w:val="00C93528"/>
    <w:rsid w:val="00CA4F9A"/>
    <w:rsid w:val="00CA7F00"/>
    <w:rsid w:val="00CD0AC8"/>
    <w:rsid w:val="00CE2833"/>
    <w:rsid w:val="00CE315A"/>
    <w:rsid w:val="00D03677"/>
    <w:rsid w:val="00D06F59"/>
    <w:rsid w:val="00D17159"/>
    <w:rsid w:val="00D231E4"/>
    <w:rsid w:val="00D51CF2"/>
    <w:rsid w:val="00D675BB"/>
    <w:rsid w:val="00D8388C"/>
    <w:rsid w:val="00D939C1"/>
    <w:rsid w:val="00DB43B7"/>
    <w:rsid w:val="00DC00A1"/>
    <w:rsid w:val="00DD1730"/>
    <w:rsid w:val="00E14414"/>
    <w:rsid w:val="00E32F02"/>
    <w:rsid w:val="00E817FC"/>
    <w:rsid w:val="00E92AF2"/>
    <w:rsid w:val="00E967B5"/>
    <w:rsid w:val="00EA049F"/>
    <w:rsid w:val="00EA6EBE"/>
    <w:rsid w:val="00EB0164"/>
    <w:rsid w:val="00EB17A8"/>
    <w:rsid w:val="00EC1457"/>
    <w:rsid w:val="00EC7001"/>
    <w:rsid w:val="00ED0F62"/>
    <w:rsid w:val="00F00EFC"/>
    <w:rsid w:val="00F8791E"/>
    <w:rsid w:val="00F96918"/>
    <w:rsid w:val="00FA636A"/>
    <w:rsid w:val="00FB7B9D"/>
    <w:rsid w:val="00FC5006"/>
    <w:rsid w:val="00FE2303"/>
    <w:rsid w:val="00FF4E2A"/>
    <w:rsid w:val="02B84719"/>
    <w:rsid w:val="03455F4E"/>
    <w:rsid w:val="03640893"/>
    <w:rsid w:val="069E7BAA"/>
    <w:rsid w:val="06B37672"/>
    <w:rsid w:val="087032D5"/>
    <w:rsid w:val="0990707C"/>
    <w:rsid w:val="09F832E0"/>
    <w:rsid w:val="0AD61B81"/>
    <w:rsid w:val="0AE65CCB"/>
    <w:rsid w:val="0B250CFE"/>
    <w:rsid w:val="0D6D2374"/>
    <w:rsid w:val="0DB71123"/>
    <w:rsid w:val="0F275B6F"/>
    <w:rsid w:val="0FB77A13"/>
    <w:rsid w:val="102A2CE8"/>
    <w:rsid w:val="108219C2"/>
    <w:rsid w:val="113A015C"/>
    <w:rsid w:val="15AB31D4"/>
    <w:rsid w:val="16351E52"/>
    <w:rsid w:val="170D1054"/>
    <w:rsid w:val="173343B0"/>
    <w:rsid w:val="201C35DE"/>
    <w:rsid w:val="23696C97"/>
    <w:rsid w:val="24A8607E"/>
    <w:rsid w:val="24FE116D"/>
    <w:rsid w:val="25EB74EE"/>
    <w:rsid w:val="26F86213"/>
    <w:rsid w:val="28491A9D"/>
    <w:rsid w:val="2D807A3F"/>
    <w:rsid w:val="2E4E2574"/>
    <w:rsid w:val="30A27C87"/>
    <w:rsid w:val="312266EE"/>
    <w:rsid w:val="334D3132"/>
    <w:rsid w:val="34524295"/>
    <w:rsid w:val="34ED1C2F"/>
    <w:rsid w:val="351279DA"/>
    <w:rsid w:val="391A76DA"/>
    <w:rsid w:val="39A30999"/>
    <w:rsid w:val="3CE33B06"/>
    <w:rsid w:val="3DAC16ED"/>
    <w:rsid w:val="3E03163F"/>
    <w:rsid w:val="3E183177"/>
    <w:rsid w:val="3F66293E"/>
    <w:rsid w:val="41C05420"/>
    <w:rsid w:val="42136665"/>
    <w:rsid w:val="4A5F6016"/>
    <w:rsid w:val="4D2860C7"/>
    <w:rsid w:val="4DE94ACF"/>
    <w:rsid w:val="50AE1FD3"/>
    <w:rsid w:val="52447F1C"/>
    <w:rsid w:val="545A60E8"/>
    <w:rsid w:val="54836A19"/>
    <w:rsid w:val="59540730"/>
    <w:rsid w:val="59F14D15"/>
    <w:rsid w:val="5B270D40"/>
    <w:rsid w:val="5BAD65A6"/>
    <w:rsid w:val="5C9406EC"/>
    <w:rsid w:val="5EA12B9A"/>
    <w:rsid w:val="5EC3719B"/>
    <w:rsid w:val="6147060A"/>
    <w:rsid w:val="61572249"/>
    <w:rsid w:val="61DC0836"/>
    <w:rsid w:val="62F43393"/>
    <w:rsid w:val="64504434"/>
    <w:rsid w:val="64763F32"/>
    <w:rsid w:val="67202610"/>
    <w:rsid w:val="68B5413B"/>
    <w:rsid w:val="6991333C"/>
    <w:rsid w:val="6A403FC3"/>
    <w:rsid w:val="6CFB6932"/>
    <w:rsid w:val="6D2C467F"/>
    <w:rsid w:val="6EEF7A0A"/>
    <w:rsid w:val="6F413833"/>
    <w:rsid w:val="705747FD"/>
    <w:rsid w:val="71474E7E"/>
    <w:rsid w:val="72C70F1A"/>
    <w:rsid w:val="74821EB4"/>
    <w:rsid w:val="775101C6"/>
    <w:rsid w:val="7A745DF5"/>
    <w:rsid w:val="7AD02CAD"/>
    <w:rsid w:val="7AE8376A"/>
    <w:rsid w:val="7BFB0B28"/>
    <w:rsid w:val="7CB22D97"/>
    <w:rsid w:val="7DCE78D1"/>
    <w:rsid w:val="7DDC5A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szCs w:val="20"/>
    </w:rPr>
  </w:style>
  <w:style w:type="paragraph" w:styleId="3">
    <w:name w:val="Body Text"/>
    <w:basedOn w:val="1"/>
    <w:qFormat/>
    <w:uiPriority w:val="0"/>
    <w:pPr>
      <w:spacing w:after="120"/>
    </w:p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表格文字"/>
    <w:basedOn w:val="1"/>
    <w:qFormat/>
    <w:uiPriority w:val="0"/>
    <w:pPr>
      <w:spacing w:before="25" w:after="25"/>
    </w:pPr>
    <w:rPr>
      <w:bCs/>
      <w:spacing w:val="10"/>
    </w:rPr>
  </w:style>
  <w:style w:type="character" w:customStyle="1" w:styleId="11">
    <w:name w:val="页眉 字符"/>
    <w:basedOn w:val="9"/>
    <w:link w:val="6"/>
    <w:qFormat/>
    <w:uiPriority w:val="99"/>
    <w:rPr>
      <w:rFonts w:ascii="Times New Roman" w:hAnsi="Times New Roman" w:eastAsia="宋体" w:cs="Times New Roman"/>
      <w:sz w:val="18"/>
      <w:szCs w:val="18"/>
    </w:rPr>
  </w:style>
  <w:style w:type="character" w:customStyle="1" w:styleId="12">
    <w:name w:val="页脚 字符"/>
    <w:basedOn w:val="9"/>
    <w:link w:val="5"/>
    <w:qFormat/>
    <w:uiPriority w:val="99"/>
    <w:rPr>
      <w:rFonts w:ascii="Times New Roman" w:hAnsi="Times New Roman" w:eastAsia="宋体" w:cs="Times New Roman"/>
      <w:sz w:val="18"/>
      <w:szCs w:val="18"/>
    </w:rPr>
  </w:style>
  <w:style w:type="character" w:customStyle="1" w:styleId="13">
    <w:name w:val="批注框文本 字符"/>
    <w:basedOn w:val="9"/>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character" w:customStyle="1" w:styleId="15">
    <w:name w:val="info-content-text"/>
    <w:basedOn w:val="9"/>
    <w:qFormat/>
    <w:uiPriority w:val="0"/>
  </w:style>
  <w:style w:type="character" w:customStyle="1" w:styleId="16">
    <w:name w:val="info-expand-btn"/>
    <w:basedOn w:val="9"/>
    <w:uiPriority w:val="0"/>
  </w:style>
  <w:style w:type="paragraph" w:customStyle="1" w:styleId="17">
    <w:name w:val="列出段落1"/>
    <w:basedOn w:val="1"/>
    <w:qFormat/>
    <w:uiPriority w:val="34"/>
    <w:pPr>
      <w:ind w:firstLine="420" w:firstLineChars="200"/>
    </w:pPr>
    <w:rPr>
      <w:rFonts w:asciiTheme="minorHAnsi" w:hAnsiTheme="minorHAnsi" w:eastAsiaTheme="minorEastAsia" w:cstheme="minorBidi"/>
      <w:szCs w:val="22"/>
    </w:rPr>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2EC058-7F8A-46A7-BA01-2F6E1D1760ED}">
  <ds:schemaRefs/>
</ds:datastoreItem>
</file>

<file path=docProps/app.xml><?xml version="1.0" encoding="utf-8"?>
<Properties xmlns="http://schemas.openxmlformats.org/officeDocument/2006/extended-properties" xmlns:vt="http://schemas.openxmlformats.org/officeDocument/2006/docPropsVTypes">
  <Template>Normal</Template>
  <Pages>10</Pages>
  <Words>939</Words>
  <Characters>5355</Characters>
  <Lines>44</Lines>
  <Paragraphs>12</Paragraphs>
  <TotalTime>11</TotalTime>
  <ScaleCrop>false</ScaleCrop>
  <LinksUpToDate>false</LinksUpToDate>
  <CharactersWithSpaces>6282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2021-12-15T00:16:11Z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72EF3F47BC5D4E96B3B0AEF6A6F92308</vt:lpwstr>
  </property>
</Properties>
</file>