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0203-2019-2021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952"/>
        <w:gridCol w:w="986"/>
        <w:gridCol w:w="1340"/>
        <w:gridCol w:w="1986"/>
        <w:gridCol w:w="1667"/>
        <w:gridCol w:w="106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七星瓢虫环境科技(苏州)有限公司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泄漏电流测试仪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RK75W-BEAB012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RK2675W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=0.4%,k=2</w:t>
            </w:r>
          </w:p>
        </w:tc>
        <w:tc>
          <w:tcPr>
            <w:tcW w:w="198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数字多用表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DCU：U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=6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-5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DCI：U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-3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苏州方圆仪器设备校准检测有限公司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2021.9.24</w:t>
            </w:r>
          </w:p>
        </w:tc>
        <w:tc>
          <w:tcPr>
            <w:tcW w:w="97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11PD50119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LC2670A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（U）=0.4%,U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（I）=0.5%，k=2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耐压测试仪校验装置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DC（AC）U：U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=0.2%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DC（AC）I：U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=0.1%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苏州方圆仪器设备校准检测有限公司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2021.9.23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绝缘电阻测试仪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R038180111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TH2681A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=2.6%,k=2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电阻U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=0.2%，电压U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=0.13%，k=2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苏州方圆仪器设备校准检测有限公司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2021.9.23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压差计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2006T01463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2300-500Pa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U=0.7%FS</w:t>
            </w:r>
          </w:p>
        </w:tc>
        <w:tc>
          <w:tcPr>
            <w:tcW w:w="1986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数字压力计 0.2级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苏州方圆仪器设备校准检测有限公司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2021.9.23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流量计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7734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LZB-4WB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U=0.2L/min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气体流量计U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=1.2%，k=2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苏州方圆仪器设备校准检测有限公司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2021.9.23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扭矩测试仪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00000629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HU-50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=0.6%,k=2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苏州方圆仪器设备校准检测有限公司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2021.9.23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氮中异丁烯气体标准物质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202107130062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8L/49.96ppm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=1%,k=2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6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空气化工产品气体生产（上海）有限公司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2021.7.13</w:t>
            </w:r>
          </w:p>
        </w:tc>
        <w:tc>
          <w:tcPr>
            <w:tcW w:w="97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测量设备溯源管理程序》，公司未建最高计量标准，测量设备由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苏州方圆仪器设备校准检测有限公司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4048125</wp:posOffset>
                  </wp:positionH>
                  <wp:positionV relativeFrom="paragraph">
                    <wp:posOffset>268605</wp:posOffset>
                  </wp:positionV>
                  <wp:extent cx="584200" cy="422910"/>
                  <wp:effectExtent l="0" t="0" r="0" b="889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36830</wp:posOffset>
                  </wp:positionV>
                  <wp:extent cx="482600" cy="331470"/>
                  <wp:effectExtent l="0" t="0" r="0" b="1143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314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D79E6"/>
    <w:rsid w:val="161524DC"/>
    <w:rsid w:val="1A657FB3"/>
    <w:rsid w:val="1C6471B0"/>
    <w:rsid w:val="32435B1F"/>
    <w:rsid w:val="6C460B67"/>
    <w:rsid w:val="7B8C1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2021-11-25T15:53:07Z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57EF35E91CB1414D8B0D82667CB2348C</vt:lpwstr>
  </property>
</Properties>
</file>