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1220-2021-QEO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四川思凯硕科技有限公司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2021年11月25日 上午至2021年11月25日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p>
            <w:pPr>
              <w:spacing w:line="240" w:lineRule="exact"/>
              <w:jc w:val="center"/>
              <w:rPr>
                <w:b/>
                <w:color w:val="000000"/>
                <w:szCs w:val="21"/>
              </w:rPr>
            </w:pPr>
            <w:r>
              <w:rPr>
                <w:b/>
                <w:color w:val="000000"/>
                <w:szCs w:val="21"/>
              </w:rPr>
              <w:t>2019-N1EMS-1247783</w:t>
            </w:r>
          </w:p>
          <w:p>
            <w:pPr>
              <w:spacing w:line="240" w:lineRule="exact"/>
              <w:jc w:val="center"/>
              <w:rPr>
                <w:b/>
                <w:color w:val="000000"/>
                <w:szCs w:val="21"/>
              </w:rPr>
            </w:pPr>
            <w:r>
              <w:rPr>
                <w:b/>
                <w:color w:val="000000"/>
                <w:szCs w:val="21"/>
              </w:rPr>
              <w:t>2021-N1OHSMS-1247783</w:t>
            </w:r>
          </w:p>
        </w:tc>
        <w:tc>
          <w:tcPr>
            <w:tcW w:w="1140" w:type="dxa"/>
            <w:vAlign w:val="center"/>
          </w:tcPr>
          <w:p>
            <w:pPr>
              <w:spacing w:line="240" w:lineRule="exact"/>
              <w:jc w:val="center"/>
              <w:rPr>
                <w:b/>
                <w:color w:val="000000"/>
                <w:szCs w:val="21"/>
              </w:rPr>
            </w:pPr>
            <w:r>
              <w:rPr>
                <w:b/>
                <w:color w:val="000000"/>
                <w:szCs w:val="21"/>
              </w:rPr>
              <w:t>Q:18.02.06,18.05.07</w:t>
            </w:r>
          </w:p>
          <w:p>
            <w:pPr>
              <w:spacing w:line="240" w:lineRule="exact"/>
              <w:jc w:val="center"/>
              <w:rPr>
                <w:b/>
                <w:color w:val="000000"/>
                <w:szCs w:val="21"/>
              </w:rPr>
            </w:pPr>
            <w:r>
              <w:rPr>
                <w:b/>
                <w:color w:val="000000"/>
                <w:szCs w:val="21"/>
              </w:rPr>
              <w:t>E:18.02.06,18.05.07</w:t>
            </w:r>
          </w:p>
          <w:p>
            <w:pPr>
              <w:spacing w:line="240" w:lineRule="exact"/>
              <w:jc w:val="center"/>
              <w:rPr>
                <w:b/>
                <w:color w:val="000000"/>
                <w:szCs w:val="21"/>
              </w:rPr>
            </w:pPr>
            <w:r>
              <w:rPr>
                <w:b/>
                <w:color w:val="000000"/>
                <w:szCs w:val="21"/>
              </w:rPr>
              <w:t>O:18.02.06,18.05.07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p>
            <w:pPr>
              <w:spacing w:line="240" w:lineRule="exact"/>
              <w:jc w:val="center"/>
              <w:rPr>
                <w:b/>
                <w:color w:val="000000"/>
                <w:szCs w:val="21"/>
              </w:rPr>
            </w:pPr>
            <w:r>
              <w:rPr>
                <w:b/>
                <w:color w:val="000000"/>
                <w:szCs w:val="21"/>
              </w:rPr>
              <w:t>2021-N1EMS-1265256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四川思凯硕科技有限公司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成都市青白江区清泉大道二段6668号（欧洲产业城）</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成都市青白江区清泉大道二段6668号（欧洲产业城）</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谭玉红</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18982268553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钟志成</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谭玉红</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r>
              <w:t>二次供水增压设备、污水处理一体化设备的设计及生产（组装）</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lang w:val="en-US" w:eastAsia="zh-CN"/>
              </w:rPr>
              <w:t>组装流程：</w:t>
            </w:r>
            <w:r>
              <w:rPr>
                <w:rFonts w:hint="eastAsia" w:ascii="宋体" w:hAnsi="宋体"/>
                <w:b/>
                <w:color w:val="000000"/>
                <w:szCs w:val="21"/>
              </w:rPr>
              <w:t>客户需求——产品设计——物料采购——组装——调试——</w:t>
            </w:r>
            <w:r>
              <w:rPr>
                <w:rFonts w:hint="eastAsia" w:ascii="宋体" w:hAnsi="宋体"/>
                <w:b/>
                <w:color w:val="000000"/>
                <w:szCs w:val="21"/>
                <w:lang w:val="en-US" w:eastAsia="zh-CN"/>
              </w:rPr>
              <w:t>交付</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5" w:name="审核范围"/>
            <w:r>
              <w:t>Q：二次供水增压设备、污水处理一体化设备的设计及生产（组装）</w:t>
            </w:r>
            <w:bookmarkEnd w:id="35"/>
          </w:p>
        </w:tc>
        <w:tc>
          <w:tcPr>
            <w:tcW w:w="2006" w:type="dxa"/>
            <w:gridSpan w:val="3"/>
            <w:vAlign w:val="center"/>
          </w:tcPr>
          <w:p>
            <w:pPr>
              <w:spacing w:line="400" w:lineRule="exact"/>
              <w:rPr>
                <w:rFonts w:ascii="宋体" w:hAnsi="宋体"/>
                <w:b/>
                <w:color w:val="000000"/>
                <w:szCs w:val="21"/>
              </w:rPr>
            </w:pPr>
            <w:r>
              <w:t>18.02.06;18.05.07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E：二次供水增压设备、污水处理一体化设备的设计及生产（组装）所涉及场所的相关环境管理活动</w:t>
            </w:r>
          </w:p>
        </w:tc>
        <w:tc>
          <w:tcPr>
            <w:tcW w:w="2006" w:type="dxa"/>
            <w:gridSpan w:val="3"/>
            <w:vAlign w:val="center"/>
          </w:tcPr>
          <w:p>
            <w:pPr>
              <w:spacing w:line="400" w:lineRule="exact"/>
              <w:rPr>
                <w:rFonts w:ascii="宋体" w:hAnsi="宋体"/>
                <w:b/>
                <w:color w:val="000000"/>
                <w:szCs w:val="21"/>
              </w:rPr>
            </w:pPr>
            <w:r>
              <w:t>18.02.06;18.05.07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O：二次供水增压设备、污水处理一体化设备的设计及生产（组装）所涉及场所的相关职业健康安全管理活动</w:t>
            </w:r>
          </w:p>
        </w:tc>
        <w:tc>
          <w:tcPr>
            <w:tcW w:w="2006" w:type="dxa"/>
            <w:gridSpan w:val="3"/>
            <w:vAlign w:val="center"/>
          </w:tcPr>
          <w:p>
            <w:pPr>
              <w:spacing w:line="400" w:lineRule="exact"/>
              <w:rPr>
                <w:rFonts w:ascii="宋体" w:hAnsi="宋体"/>
                <w:b/>
                <w:color w:val="000000"/>
                <w:szCs w:val="21"/>
              </w:rPr>
            </w:pPr>
            <w:r>
              <w:t>18.02.06;18.05.07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成都市青白江区清泉大道二段6668号（欧洲产业城）</w:t>
            </w:r>
          </w:p>
        </w:tc>
        <w:tc>
          <w:tcPr>
            <w:tcW w:w="2267" w:type="dxa"/>
          </w:tcPr>
          <w:p>
            <w:pPr>
              <w:spacing w:before="40" w:after="40"/>
              <w:rPr>
                <w:rFonts w:eastAsia="黑体"/>
                <w:szCs w:val="21"/>
                <w:lang w:val="de-DE" w:eastAsia="ja-JP"/>
              </w:rPr>
            </w:pPr>
            <w:r>
              <w:rPr>
                <w:sz w:val="21"/>
                <w:szCs w:val="21"/>
              </w:rPr>
              <w:t>成都市青白江区清泉大道二段6668号（欧洲产业城）</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2803" w:type="dxa"/>
            <w:vAlign w:val="center"/>
          </w:tcPr>
          <w:p>
            <w:pPr>
              <w:pStyle w:val="20"/>
              <w:rPr>
                <w:rFonts w:eastAsia="黑体" w:cs="Arial"/>
                <w:sz w:val="21"/>
                <w:szCs w:val="21"/>
                <w:lang w:val="en-US" w:eastAsia="ja-JP"/>
              </w:rPr>
            </w:pPr>
            <w:r>
              <w:t>Q：二次供水增压设备、污水处理一体化设备的设计及生产（组装）</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21"/>
                <w:szCs w:val="21"/>
              </w:rPr>
              <w:t>成都市青白江区清泉大道二段6668号（欧洲产业城）</w:t>
            </w:r>
          </w:p>
        </w:tc>
        <w:tc>
          <w:tcPr>
            <w:tcW w:w="2267" w:type="dxa"/>
            <w:vAlign w:val="center"/>
          </w:tcPr>
          <w:p>
            <w:pPr>
              <w:spacing w:before="40" w:after="40"/>
              <w:rPr>
                <w:rFonts w:eastAsia="黑体"/>
                <w:szCs w:val="21"/>
                <w:lang w:eastAsia="ja-JP"/>
              </w:rPr>
            </w:pPr>
            <w:r>
              <w:rPr>
                <w:sz w:val="21"/>
                <w:szCs w:val="21"/>
              </w:rPr>
              <w:t>成都市青白江区清泉大道二段6668号（欧洲产业城）</w:t>
            </w:r>
          </w:p>
        </w:tc>
        <w:tc>
          <w:tcPr>
            <w:tcW w:w="571" w:type="dxa"/>
            <w:vAlign w:val="center"/>
          </w:tcPr>
          <w:p>
            <w:pPr>
              <w:spacing w:before="40" w:after="40"/>
              <w:rPr>
                <w:rFonts w:eastAsia="黑体"/>
                <w:szCs w:val="21"/>
                <w:lang w:eastAsia="ja-JP"/>
              </w:rPr>
            </w:pPr>
            <w:r>
              <w:rPr>
                <w:rFonts w:hint="eastAsia" w:eastAsia="黑体"/>
                <w:szCs w:val="21"/>
                <w:lang w:val="en-US" w:eastAsia="zh-CN"/>
              </w:rPr>
              <w:t>12</w:t>
            </w:r>
          </w:p>
        </w:tc>
        <w:tc>
          <w:tcPr>
            <w:tcW w:w="2803" w:type="dxa"/>
            <w:vAlign w:val="center"/>
          </w:tcPr>
          <w:p>
            <w:pPr>
              <w:rPr>
                <w:rFonts w:eastAsia="黑体"/>
                <w:szCs w:val="21"/>
                <w:lang w:eastAsia="ja-JP"/>
              </w:rPr>
            </w:pPr>
            <w:r>
              <w:t>E：二次供水增压设备、污水处理一体化设备的设计及生产（组装）所涉及场所的相关环境管理活动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r>
              <w:rPr>
                <w:sz w:val="21"/>
                <w:szCs w:val="21"/>
              </w:rPr>
              <w:t>成都市青白江区清泉大道二段6668号（欧洲产业城）</w:t>
            </w:r>
          </w:p>
        </w:tc>
        <w:tc>
          <w:tcPr>
            <w:tcW w:w="2267" w:type="dxa"/>
            <w:vAlign w:val="center"/>
          </w:tcPr>
          <w:p>
            <w:pPr>
              <w:spacing w:before="40" w:after="40"/>
              <w:rPr>
                <w:rFonts w:eastAsia="黑体"/>
                <w:szCs w:val="21"/>
                <w:lang w:eastAsia="ja-JP"/>
              </w:rPr>
            </w:pPr>
            <w:r>
              <w:rPr>
                <w:sz w:val="21"/>
                <w:szCs w:val="21"/>
              </w:rPr>
              <w:t>成都市青白江区清泉大道二段6668号（欧洲产业城）</w:t>
            </w:r>
          </w:p>
        </w:tc>
        <w:tc>
          <w:tcPr>
            <w:tcW w:w="571" w:type="dxa"/>
            <w:vAlign w:val="center"/>
          </w:tcPr>
          <w:p>
            <w:pPr>
              <w:spacing w:before="40" w:after="40"/>
              <w:rPr>
                <w:rFonts w:eastAsia="黑体"/>
                <w:szCs w:val="21"/>
                <w:lang w:eastAsia="ja-JP"/>
              </w:rPr>
            </w:pPr>
            <w:r>
              <w:rPr>
                <w:rFonts w:hint="eastAsia" w:eastAsia="黑体"/>
                <w:szCs w:val="21"/>
                <w:lang w:val="en-US" w:eastAsia="zh-CN"/>
              </w:rPr>
              <w:t>12</w:t>
            </w:r>
          </w:p>
        </w:tc>
        <w:tc>
          <w:tcPr>
            <w:tcW w:w="2803" w:type="dxa"/>
            <w:vAlign w:val="center"/>
          </w:tcPr>
          <w:p>
            <w:pPr>
              <w:spacing w:line="400" w:lineRule="exact"/>
              <w:rPr>
                <w:rFonts w:eastAsia="黑体"/>
                <w:szCs w:val="21"/>
                <w:lang w:eastAsia="ja-JP"/>
              </w:rPr>
            </w:pPr>
            <w:r>
              <w:t>O：二次供水增压设备、污水处理一体化设备的设计及生产（组装）所涉及场所的相关职业健康安全管理活动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 45001-2020</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s="Times New Roman"/>
                <w:b/>
                <w:color w:val="000000"/>
                <w:kern w:val="2"/>
                <w:sz w:val="21"/>
                <w:szCs w:val="21"/>
                <w:u w:val="single"/>
                <w:lang w:val="en-US" w:eastAsia="zh-CN" w:bidi="ar-SA"/>
              </w:rPr>
              <w:t>2021年 8月10日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eastAsia="zh-CN"/>
              </w:rPr>
              <w:t>：</w:t>
            </w:r>
            <w:r>
              <w:rPr>
                <w:rFonts w:hint="eastAsia" w:ascii="宋体" w:hAnsi="宋体"/>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rPr>
            </w:pPr>
            <w:r>
              <w:rPr>
                <w:rFonts w:hint="eastAsia" w:ascii="宋体" w:hAnsi="宋体" w:eastAsia="宋体" w:cs="Times New Roman"/>
                <w:color w:val="000000"/>
                <w:szCs w:val="21"/>
                <w:lang w:val="en-US" w:eastAsia="zh-CN"/>
              </w:rPr>
              <w:t>大件运输、箱体焊接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hint="eastAsia"/>
                <w:b/>
                <w:bCs/>
                <w:sz w:val="28"/>
                <w:szCs w:val="28"/>
                <w:lang w:val="en-US" w:eastAsia="zh-CN"/>
              </w:rPr>
            </w:pPr>
            <w:r>
              <w:rPr>
                <w:rFonts w:hint="eastAsia" w:ascii="宋体" w:hAnsi="宋体"/>
                <w:color w:val="000000"/>
                <w:spacing w:val="-10"/>
                <w:szCs w:val="21"/>
              </w:rPr>
              <w:t>生产/服务质量控制情况</w:t>
            </w:r>
          </w:p>
          <w:p>
            <w:pPr>
              <w:rPr>
                <w:rFonts w:ascii="宋体"/>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u w:val="single"/>
              </w:rPr>
              <w:t>2021-</w:t>
            </w:r>
            <w:r>
              <w:rPr>
                <w:rFonts w:hint="eastAsia" w:ascii="宋体"/>
                <w:b/>
                <w:color w:val="000000"/>
                <w:szCs w:val="21"/>
                <w:u w:val="single"/>
                <w:lang w:val="en-US" w:eastAsia="zh-CN"/>
              </w:rPr>
              <w:t>11</w:t>
            </w:r>
            <w:r>
              <w:rPr>
                <w:rFonts w:hint="eastAsia" w:ascii="宋体"/>
                <w:b/>
                <w:color w:val="000000"/>
                <w:szCs w:val="21"/>
                <w:u w:val="single"/>
              </w:rPr>
              <w:t>-</w:t>
            </w:r>
            <w:bookmarkEnd w:id="36"/>
            <w:r>
              <w:rPr>
                <w:rFonts w:hint="eastAsia" w:ascii="宋体"/>
                <w:b/>
                <w:color w:val="000000"/>
                <w:szCs w:val="21"/>
                <w:u w:val="single"/>
                <w:lang w:val="en-US" w:eastAsia="zh-CN"/>
              </w:rPr>
              <w:t>27、28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 w:val="22"/>
          <w:szCs w:val="22"/>
        </w:rPr>
        <w:drawing>
          <wp:anchor distT="0" distB="0" distL="114300" distR="114300" simplePos="0" relativeHeight="251664384" behindDoc="0" locked="0" layoutInCell="1" allowOverlap="1">
            <wp:simplePos x="0" y="0"/>
            <wp:positionH relativeFrom="column">
              <wp:posOffset>4487545</wp:posOffset>
            </wp:positionH>
            <wp:positionV relativeFrom="paragraph">
              <wp:posOffset>358140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1875790</wp:posOffset>
            </wp:positionH>
            <wp:positionV relativeFrom="paragraph">
              <wp:posOffset>351155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ascii="宋体" w:hAnsi="宋体"/>
          <w:b/>
          <w:color w:val="000000"/>
          <w:szCs w:val="21"/>
          <w:lang w:val="en-US" w:eastAsia="zh-CN"/>
        </w:rPr>
        <w:t>2021.11.25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948"/>
        <w:gridCol w:w="1493"/>
        <w:gridCol w:w="1636"/>
        <w:gridCol w:w="132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8" w:type="dxa"/>
            <w:vAlign w:val="center"/>
          </w:tcPr>
          <w:p>
            <w:pPr>
              <w:snapToGrid w:val="0"/>
              <w:spacing w:line="280" w:lineRule="exact"/>
              <w:jc w:val="center"/>
              <w:rPr>
                <w:b/>
                <w:bCs/>
                <w:color w:val="000000"/>
                <w:szCs w:val="21"/>
              </w:rPr>
            </w:pPr>
            <w:r>
              <w:rPr>
                <w:rFonts w:hint="eastAsia"/>
                <w:b/>
                <w:bCs/>
                <w:color w:val="000000"/>
                <w:szCs w:val="21"/>
              </w:rPr>
              <w:t>序号</w:t>
            </w:r>
          </w:p>
        </w:tc>
        <w:tc>
          <w:tcPr>
            <w:tcW w:w="544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636"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29"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8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44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不能提供游标卡尺、卷尺、压力表、万用表的校准报告。</w:t>
            </w:r>
          </w:p>
        </w:tc>
        <w:tc>
          <w:tcPr>
            <w:tcW w:w="1636" w:type="dxa"/>
            <w:vAlign w:val="center"/>
          </w:tcPr>
          <w:p>
            <w:pPr>
              <w:pStyle w:val="7"/>
              <w:pBdr>
                <w:bottom w:val="none" w:color="auto" w:sz="0" w:space="0"/>
              </w:pBdr>
              <w:ind w:right="600"/>
              <w:jc w:val="both"/>
              <w:rPr>
                <w:color w:val="000000"/>
                <w:sz w:val="21"/>
                <w:szCs w:val="21"/>
              </w:rPr>
            </w:pPr>
            <w:r>
              <w:rPr>
                <w:rFonts w:hint="eastAsia"/>
                <w:color w:val="000000"/>
                <w:sz w:val="21"/>
                <w:szCs w:val="21"/>
              </w:rPr>
              <w:t>GB/T19001-2016</w:t>
            </w:r>
          </w:p>
        </w:tc>
        <w:tc>
          <w:tcPr>
            <w:tcW w:w="1329"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7.1.5</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88" w:type="dxa"/>
            <w:vAlign w:val="center"/>
          </w:tcPr>
          <w:p>
            <w:pPr>
              <w:pStyle w:val="7"/>
              <w:pBdr>
                <w:bottom w:val="none" w:color="auto" w:sz="0" w:space="0"/>
              </w:pBdr>
              <w:ind w:right="600"/>
              <w:jc w:val="both"/>
              <w:rPr>
                <w:rFonts w:ascii="宋体"/>
                <w:color w:val="000000"/>
                <w:sz w:val="21"/>
                <w:szCs w:val="21"/>
              </w:rPr>
            </w:pPr>
          </w:p>
        </w:tc>
        <w:tc>
          <w:tcPr>
            <w:tcW w:w="544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36" w:type="dxa"/>
            <w:vAlign w:val="center"/>
          </w:tcPr>
          <w:p>
            <w:pPr>
              <w:pStyle w:val="7"/>
              <w:pBdr>
                <w:bottom w:val="none" w:color="auto" w:sz="0" w:space="0"/>
              </w:pBdr>
              <w:ind w:right="600"/>
              <w:jc w:val="both"/>
              <w:rPr>
                <w:color w:val="000000"/>
                <w:sz w:val="21"/>
                <w:szCs w:val="21"/>
              </w:rPr>
            </w:pPr>
          </w:p>
        </w:tc>
        <w:tc>
          <w:tcPr>
            <w:tcW w:w="1329"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88" w:type="dxa"/>
            <w:vAlign w:val="center"/>
          </w:tcPr>
          <w:p>
            <w:pPr>
              <w:pStyle w:val="7"/>
              <w:pBdr>
                <w:bottom w:val="none" w:color="auto" w:sz="0" w:space="0"/>
              </w:pBdr>
              <w:ind w:right="600"/>
              <w:jc w:val="both"/>
              <w:rPr>
                <w:rFonts w:ascii="宋体"/>
                <w:color w:val="000000"/>
                <w:sz w:val="21"/>
                <w:szCs w:val="21"/>
              </w:rPr>
            </w:pPr>
          </w:p>
        </w:tc>
        <w:tc>
          <w:tcPr>
            <w:tcW w:w="544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36" w:type="dxa"/>
            <w:vAlign w:val="center"/>
          </w:tcPr>
          <w:p>
            <w:pPr>
              <w:pStyle w:val="7"/>
              <w:pBdr>
                <w:bottom w:val="none" w:color="auto" w:sz="0" w:space="0"/>
              </w:pBdr>
              <w:ind w:right="600"/>
              <w:jc w:val="both"/>
              <w:rPr>
                <w:color w:val="000000"/>
                <w:sz w:val="21"/>
                <w:szCs w:val="21"/>
              </w:rPr>
            </w:pPr>
          </w:p>
        </w:tc>
        <w:tc>
          <w:tcPr>
            <w:tcW w:w="1329"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88" w:type="dxa"/>
            <w:vAlign w:val="center"/>
          </w:tcPr>
          <w:p>
            <w:pPr>
              <w:pStyle w:val="7"/>
              <w:pBdr>
                <w:bottom w:val="none" w:color="auto" w:sz="0" w:space="0"/>
              </w:pBdr>
              <w:ind w:right="600"/>
              <w:jc w:val="both"/>
              <w:rPr>
                <w:rFonts w:ascii="宋体"/>
                <w:color w:val="000000"/>
                <w:sz w:val="21"/>
                <w:szCs w:val="21"/>
              </w:rPr>
            </w:pPr>
          </w:p>
        </w:tc>
        <w:tc>
          <w:tcPr>
            <w:tcW w:w="544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36" w:type="dxa"/>
            <w:vAlign w:val="center"/>
          </w:tcPr>
          <w:p>
            <w:pPr>
              <w:pStyle w:val="7"/>
              <w:pBdr>
                <w:bottom w:val="none" w:color="auto" w:sz="0" w:space="0"/>
              </w:pBdr>
              <w:ind w:right="600"/>
              <w:jc w:val="both"/>
              <w:rPr>
                <w:color w:val="000000"/>
                <w:sz w:val="21"/>
                <w:szCs w:val="21"/>
              </w:rPr>
            </w:pPr>
          </w:p>
        </w:tc>
        <w:tc>
          <w:tcPr>
            <w:tcW w:w="1329"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88" w:type="dxa"/>
            <w:vAlign w:val="center"/>
          </w:tcPr>
          <w:p>
            <w:pPr>
              <w:pStyle w:val="7"/>
              <w:pBdr>
                <w:bottom w:val="none" w:color="auto" w:sz="0" w:space="0"/>
              </w:pBdr>
              <w:ind w:right="600"/>
              <w:jc w:val="both"/>
              <w:rPr>
                <w:rFonts w:ascii="宋体"/>
                <w:color w:val="000000"/>
                <w:sz w:val="21"/>
                <w:szCs w:val="21"/>
              </w:rPr>
            </w:pPr>
          </w:p>
        </w:tc>
        <w:tc>
          <w:tcPr>
            <w:tcW w:w="544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36" w:type="dxa"/>
            <w:vAlign w:val="center"/>
          </w:tcPr>
          <w:p>
            <w:pPr>
              <w:pStyle w:val="7"/>
              <w:pBdr>
                <w:bottom w:val="none" w:color="auto" w:sz="0" w:space="0"/>
              </w:pBdr>
              <w:ind w:right="600"/>
              <w:jc w:val="both"/>
              <w:rPr>
                <w:color w:val="000000"/>
                <w:sz w:val="21"/>
                <w:szCs w:val="21"/>
              </w:rPr>
            </w:pPr>
          </w:p>
        </w:tc>
        <w:tc>
          <w:tcPr>
            <w:tcW w:w="1329"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720090</wp:posOffset>
                  </wp:positionH>
                  <wp:positionV relativeFrom="paragraph">
                    <wp:posOffset>24130</wp:posOffset>
                  </wp:positionV>
                  <wp:extent cx="812165" cy="275590"/>
                  <wp:effectExtent l="0" t="0" r="635" b="3810"/>
                  <wp:wrapNone/>
                  <wp:docPr id="2" name="图片 2"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525780</wp:posOffset>
                  </wp:positionH>
                  <wp:positionV relativeFrom="paragraph">
                    <wp:posOffset>66040</wp:posOffset>
                  </wp:positionV>
                  <wp:extent cx="812165" cy="275590"/>
                  <wp:effectExtent l="0" t="0" r="6985" b="10160"/>
                  <wp:wrapNone/>
                  <wp:docPr id="3" name="图片 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p>
          <w:p>
            <w:pPr>
              <w:spacing w:line="280" w:lineRule="exact"/>
              <w:rPr>
                <w:b/>
                <w:color w:val="000000"/>
                <w:szCs w:val="21"/>
              </w:rPr>
            </w:pPr>
            <w:r>
              <w:rPr>
                <w:rFonts w:hint="eastAsia"/>
                <w:b/>
                <w:color w:val="000000"/>
                <w:szCs w:val="21"/>
              </w:rPr>
              <w:t>验证人：              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25</w:t>
            </w:r>
            <w:r>
              <w:rPr>
                <w:rFonts w:hint="eastAsia"/>
                <w:b/>
                <w:color w:val="000000"/>
                <w:szCs w:val="21"/>
              </w:rPr>
              <w:t>日</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34B7495"/>
    <w:rsid w:val="08726929"/>
    <w:rsid w:val="225727E3"/>
    <w:rsid w:val="241E3B2A"/>
    <w:rsid w:val="2D8E7CF3"/>
    <w:rsid w:val="49DF313B"/>
    <w:rsid w:val="4C885B30"/>
    <w:rsid w:val="4EAA43B6"/>
    <w:rsid w:val="5DA031E0"/>
    <w:rsid w:val="5E912C90"/>
    <w:rsid w:val="676527DF"/>
    <w:rsid w:val="7E6814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2021-11-25T08:19:16Z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