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郭绍华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评价人:洪文富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2021.12.05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36B5E3C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2021-12-04T06:38:40Z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