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7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b/>
                <w:spacing w:val="-2"/>
                <w:szCs w:val="21"/>
              </w:rPr>
              <w:t xml:space="preserve">   </w:t>
            </w:r>
            <w:bookmarkStart w:id="18" w:name="_GoBack"/>
            <w:bookmarkEnd w:id="18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福建省联丰盛漂染植绒有限公司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吴天宝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6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2020年目标：即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单位产品能耗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≦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1393.12kgce/万米；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2020年实际完成单位产品能耗为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1480.61kgce/万米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没有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完成了目标；</w:t>
            </w:r>
          </w:p>
          <w:p>
            <w:pPr>
              <w:pStyle w:val="6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2021年的目标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≦</w:t>
            </w:r>
            <w: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  <w:t>2041.22kgce/万米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2021年1-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月份实际完成</w:t>
            </w:r>
            <w:r>
              <w:rPr>
                <w:rFonts w:hint="eastAsia" w:eastAsia="宋体"/>
                <w:lang w:val="en-US" w:eastAsia="zh-CN"/>
              </w:rPr>
              <w:t>2532.12kgce/万米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没有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完成了目标。公司没有进行原因分析，没有制定节能措施。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bookmarkStart w:id="16" w:name="H勾选Add1"/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102-2013 能源管理体系 纺织企业认证要求4.6.1条款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周涛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</w:t>
            </w:r>
          </w:p>
          <w:p>
            <w:pPr>
              <w:spacing w:before="120" w:line="360" w:lineRule="auto"/>
              <w:ind w:firstLine="2951" w:firstLineChars="1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审核员：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7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pStyle w:val="6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2020年目标：即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单位产品能耗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≦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1393.12kgce/万米；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2020年实际完成单位产品能耗为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1480.61kgce/万米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没有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完成了目标；</w:t>
            </w:r>
          </w:p>
          <w:p>
            <w:pPr>
              <w:pStyle w:val="6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2021年的目标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≦</w:t>
            </w:r>
            <w: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  <w:t>2041.22kgce/万米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2021年1-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月份实际完成</w:t>
            </w:r>
            <w:r>
              <w:rPr>
                <w:rFonts w:hint="eastAsia" w:eastAsia="宋体"/>
                <w:lang w:val="en-US" w:eastAsia="zh-CN"/>
              </w:rPr>
              <w:t>2532.12kgce/万米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没有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完成了目标。公司没有进行原因分析，没有制定节能措施。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347A8"/>
    <w:rsid w:val="2C495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2021-12-04T06:39:01Z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