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2"/>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57"/>
        <w:gridCol w:w="10007"/>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57"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7" w:type="dxa"/>
            <w:vAlign w:val="center"/>
          </w:tcPr>
          <w:p>
            <w:pPr>
              <w:rPr>
                <w:rFonts w:hint="default"/>
                <w:sz w:val="24"/>
                <w:szCs w:val="24"/>
                <w:lang w:val="en-US"/>
              </w:rPr>
            </w:pPr>
            <w:r>
              <w:rPr>
                <w:rFonts w:hint="eastAsia"/>
                <w:sz w:val="24"/>
                <w:szCs w:val="24"/>
              </w:rPr>
              <w:t>受审核部门：</w:t>
            </w:r>
            <w:bookmarkStart w:id="0" w:name="组织名称"/>
            <w:r>
              <w:rPr>
                <w:rFonts w:hint="eastAsia" w:eastAsia="宋体"/>
                <w:sz w:val="24"/>
                <w:szCs w:val="24"/>
                <w:lang w:val="en-US" w:eastAsia="zh-CN"/>
              </w:rPr>
              <w:t>福建省联丰盛漂染植绒有限公司</w:t>
            </w:r>
            <w:bookmarkEnd w:id="0"/>
            <w:r>
              <w:rPr>
                <w:rFonts w:hint="eastAsia"/>
                <w:sz w:val="24"/>
                <w:szCs w:val="24"/>
                <w:lang w:val="en-US" w:eastAsia="zh-CN"/>
              </w:rPr>
              <w:t>管理层</w:t>
            </w:r>
            <w:r>
              <w:rPr>
                <w:sz w:val="24"/>
                <w:szCs w:val="24"/>
              </w:rPr>
              <w:t xml:space="preserve"> </w:t>
            </w:r>
            <w:r>
              <w:rPr>
                <w:rFonts w:hint="eastAsia"/>
                <w:sz w:val="24"/>
                <w:szCs w:val="24"/>
              </w:rPr>
              <w:t>主管领导：</w:t>
            </w:r>
            <w:r>
              <w:rPr>
                <w:rFonts w:hint="eastAsia" w:cs="Times New Roman"/>
                <w:sz w:val="24"/>
                <w:szCs w:val="24"/>
                <w:lang w:val="en-US" w:eastAsia="zh-CN"/>
              </w:rPr>
              <w:t>洪文富</w:t>
            </w:r>
            <w:r>
              <w:rPr>
                <w:rFonts w:hint="eastAsia" w:ascii="Times New Roman" w:hAnsi="Times New Roman" w:eastAsia="宋体" w:cs="Times New Roman"/>
                <w:sz w:val="24"/>
                <w:szCs w:val="24"/>
              </w:rPr>
              <w:t xml:space="preserve"> </w:t>
            </w:r>
            <w:r>
              <w:rPr>
                <w:rFonts w:hint="eastAsia"/>
                <w:sz w:val="24"/>
                <w:szCs w:val="24"/>
              </w:rPr>
              <w:t>陪同人员：</w:t>
            </w:r>
            <w:r>
              <w:rPr>
                <w:rFonts w:hint="eastAsia"/>
                <w:sz w:val="24"/>
                <w:szCs w:val="24"/>
                <w:highlight w:val="none"/>
                <w:lang w:val="en-US" w:eastAsia="zh-CN"/>
              </w:rPr>
              <w:t>吴天宝</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57" w:type="dxa"/>
            <w:vMerge w:val="continue"/>
            <w:vAlign w:val="center"/>
          </w:tcPr>
          <w:p/>
        </w:tc>
        <w:tc>
          <w:tcPr>
            <w:tcW w:w="10007" w:type="dxa"/>
            <w:vAlign w:val="center"/>
          </w:tcPr>
          <w:p>
            <w:pPr>
              <w:spacing w:before="120"/>
            </w:pPr>
            <w:r>
              <w:rPr>
                <w:rFonts w:hint="eastAsia"/>
                <w:sz w:val="24"/>
                <w:szCs w:val="24"/>
              </w:rPr>
              <w:t>审核员：</w:t>
            </w:r>
            <w:r>
              <w:rPr>
                <w:rFonts w:hint="eastAsia"/>
                <w:sz w:val="24"/>
                <w:szCs w:val="24"/>
                <w:lang w:val="en-US" w:eastAsia="zh-CN"/>
              </w:rPr>
              <w:t>李丽英</w:t>
            </w:r>
            <w:r>
              <w:rPr>
                <w:sz w:val="24"/>
                <w:szCs w:val="24"/>
              </w:rPr>
              <w:t xml:space="preserve">     </w:t>
            </w:r>
            <w:r>
              <w:rPr>
                <w:rFonts w:hint="eastAsia"/>
                <w:sz w:val="24"/>
                <w:szCs w:val="24"/>
              </w:rPr>
              <w:t>审核时间：</w:t>
            </w:r>
            <w:bookmarkStart w:id="1" w:name="审核日期"/>
            <w:r>
              <w:rPr>
                <w:rFonts w:hint="eastAsia" w:ascii="Times New Roman" w:hAnsi="Times New Roman" w:cs="Times New Roman"/>
                <w:sz w:val="24"/>
                <w:szCs w:val="24"/>
              </w:rPr>
              <w:t>2021年1</w:t>
            </w:r>
            <w:r>
              <w:rPr>
                <w:rFonts w:hint="eastAsia" w:cs="Times New Roman"/>
                <w:sz w:val="24"/>
                <w:szCs w:val="24"/>
                <w:lang w:val="en-US" w:eastAsia="zh-CN"/>
              </w:rPr>
              <w:t>2</w:t>
            </w:r>
            <w:r>
              <w:rPr>
                <w:rFonts w:hint="eastAsia" w:ascii="Times New Roman" w:hAnsi="Times New Roman" w:cs="Times New Roman"/>
                <w:sz w:val="24"/>
                <w:szCs w:val="24"/>
              </w:rPr>
              <w:t>月</w:t>
            </w:r>
            <w:r>
              <w:rPr>
                <w:rFonts w:hint="eastAsia" w:cs="Times New Roman"/>
                <w:sz w:val="24"/>
                <w:szCs w:val="24"/>
                <w:lang w:val="en-US" w:eastAsia="zh-CN"/>
              </w:rPr>
              <w:t>2</w:t>
            </w:r>
            <w:r>
              <w:rPr>
                <w:rFonts w:hint="eastAsia" w:ascii="Times New Roman" w:hAnsi="Times New Roman" w:cs="Times New Roman"/>
                <w:sz w:val="24"/>
                <w:szCs w:val="24"/>
              </w:rPr>
              <w:t xml:space="preserve">日 </w:t>
            </w:r>
            <w:bookmarkEnd w:id="1"/>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57" w:type="dxa"/>
            <w:vMerge w:val="continue"/>
            <w:vAlign w:val="center"/>
          </w:tcPr>
          <w:p/>
        </w:tc>
        <w:tc>
          <w:tcPr>
            <w:tcW w:w="10007" w:type="dxa"/>
            <w:vAlign w:val="center"/>
          </w:tcPr>
          <w:p>
            <w:pPr>
              <w:spacing w:line="300" w:lineRule="exact"/>
              <w:rPr>
                <w:sz w:val="24"/>
                <w:szCs w:val="24"/>
              </w:rPr>
            </w:pPr>
            <w:r>
              <w:rPr>
                <w:rFonts w:hint="eastAsia"/>
                <w:sz w:val="24"/>
                <w:szCs w:val="24"/>
              </w:rPr>
              <w:t>审核条款：</w:t>
            </w:r>
            <w:r>
              <w:rPr>
                <w:rFonts w:hint="eastAsia" w:ascii="宋体" w:hAnsi="宋体" w:eastAsia="宋体" w:cs="Times New Roman"/>
                <w:b/>
                <w:bCs/>
                <w:sz w:val="21"/>
                <w:szCs w:val="21"/>
                <w:lang w:val="en-US" w:eastAsia="zh-CN"/>
              </w:rPr>
              <w:t>EnMS：</w:t>
            </w:r>
            <w:r>
              <w:rPr>
                <w:rFonts w:hint="eastAsia" w:ascii="宋体" w:hAnsi="宋体" w:cs="Times New Roman"/>
                <w:b/>
                <w:bCs/>
                <w:sz w:val="21"/>
                <w:szCs w:val="21"/>
                <w:lang w:val="en-US" w:eastAsia="zh-CN"/>
              </w:rPr>
              <w:t>4</w:t>
            </w:r>
            <w:r>
              <w:rPr>
                <w:rFonts w:hint="eastAsia" w:ascii="宋体" w:hAnsi="宋体" w:eastAsia="宋体" w:cs="Times New Roman"/>
                <w:b/>
                <w:bCs/>
                <w:sz w:val="21"/>
                <w:szCs w:val="21"/>
              </w:rPr>
              <w:t>.</w:t>
            </w:r>
            <w:r>
              <w:rPr>
                <w:rFonts w:hint="eastAsia" w:ascii="宋体" w:hAnsi="宋体" w:cs="Times New Roman"/>
                <w:b/>
                <w:bCs/>
                <w:sz w:val="21"/>
                <w:szCs w:val="21"/>
                <w:lang w:val="en-US" w:eastAsia="zh-CN"/>
              </w:rPr>
              <w:t>1</w:t>
            </w:r>
            <w:r>
              <w:rPr>
                <w:rFonts w:hint="eastAsia" w:ascii="宋体" w:hAnsi="宋体" w:eastAsia="宋体" w:cs="Times New Roman"/>
                <w:b/>
                <w:bCs/>
                <w:sz w:val="21"/>
                <w:szCs w:val="21"/>
                <w:lang w:val="en-US" w:eastAsia="zh-CN"/>
              </w:rPr>
              <w:t>/</w:t>
            </w:r>
            <w:r>
              <w:rPr>
                <w:rFonts w:hint="eastAsia" w:ascii="宋体" w:hAnsi="宋体" w:cs="Times New Roman"/>
                <w:b/>
                <w:bCs/>
                <w:sz w:val="21"/>
                <w:szCs w:val="21"/>
                <w:lang w:val="en-US" w:eastAsia="zh-CN"/>
              </w:rPr>
              <w:t>4</w:t>
            </w:r>
            <w:r>
              <w:rPr>
                <w:rFonts w:hint="eastAsia" w:ascii="宋体" w:hAnsi="宋体" w:eastAsia="宋体" w:cs="Times New Roman"/>
                <w:b/>
                <w:bCs/>
                <w:sz w:val="21"/>
                <w:szCs w:val="21"/>
              </w:rPr>
              <w:t>.2</w:t>
            </w:r>
            <w:r>
              <w:rPr>
                <w:rFonts w:hint="eastAsia" w:ascii="宋体" w:hAnsi="宋体" w:eastAsia="宋体" w:cs="Times New Roman"/>
                <w:b/>
                <w:bCs/>
                <w:sz w:val="21"/>
                <w:szCs w:val="21"/>
                <w:lang w:val="en-US" w:eastAsia="zh-CN"/>
              </w:rPr>
              <w:t>/</w:t>
            </w:r>
            <w:r>
              <w:rPr>
                <w:rFonts w:hint="eastAsia" w:ascii="宋体" w:hAnsi="宋体" w:cs="Times New Roman"/>
                <w:b/>
                <w:bCs/>
                <w:sz w:val="21"/>
                <w:szCs w:val="21"/>
                <w:lang w:val="en-US" w:eastAsia="zh-CN"/>
              </w:rPr>
              <w:t>4.3/4.4/5</w:t>
            </w:r>
            <w:r>
              <w:rPr>
                <w:rFonts w:hint="eastAsia" w:ascii="宋体" w:hAnsi="宋体" w:eastAsia="宋体" w:cs="Times New Roman"/>
                <w:b/>
                <w:bCs/>
                <w:sz w:val="21"/>
                <w:szCs w:val="21"/>
                <w:lang w:val="en-US" w:eastAsia="zh-CN"/>
              </w:rPr>
              <w:t>.</w:t>
            </w:r>
            <w:r>
              <w:rPr>
                <w:rFonts w:hint="eastAsia" w:ascii="宋体" w:hAnsi="宋体" w:cs="Times New Roman"/>
                <w:b/>
                <w:bCs/>
                <w:sz w:val="21"/>
                <w:szCs w:val="21"/>
                <w:lang w:val="en-US" w:eastAsia="zh-CN"/>
              </w:rPr>
              <w:t>1</w:t>
            </w:r>
            <w:r>
              <w:rPr>
                <w:rFonts w:hint="eastAsia" w:ascii="宋体" w:hAnsi="宋体" w:eastAsia="宋体" w:cs="Times New Roman"/>
                <w:b/>
                <w:bCs/>
                <w:sz w:val="21"/>
                <w:szCs w:val="21"/>
                <w:lang w:val="en-US" w:eastAsia="zh-CN"/>
              </w:rPr>
              <w:t>/</w:t>
            </w:r>
            <w:r>
              <w:rPr>
                <w:rFonts w:hint="eastAsia" w:ascii="宋体" w:hAnsi="宋体" w:cs="Times New Roman"/>
                <w:b/>
                <w:bCs/>
                <w:sz w:val="21"/>
                <w:szCs w:val="21"/>
                <w:lang w:val="en-US" w:eastAsia="zh-CN"/>
              </w:rPr>
              <w:t>5</w:t>
            </w:r>
            <w:r>
              <w:rPr>
                <w:rFonts w:hint="eastAsia" w:ascii="宋体" w:hAnsi="宋体" w:eastAsia="宋体" w:cs="Times New Roman"/>
                <w:b/>
                <w:bCs/>
                <w:sz w:val="21"/>
                <w:szCs w:val="21"/>
              </w:rPr>
              <w:t>.</w:t>
            </w:r>
            <w:r>
              <w:rPr>
                <w:rFonts w:hint="eastAsia" w:ascii="宋体" w:hAnsi="宋体" w:cs="Times New Roman"/>
                <w:b/>
                <w:bCs/>
                <w:sz w:val="21"/>
                <w:szCs w:val="21"/>
                <w:lang w:val="en-US" w:eastAsia="zh-CN"/>
              </w:rPr>
              <w:t>2</w:t>
            </w:r>
            <w:r>
              <w:rPr>
                <w:rFonts w:hint="eastAsia" w:ascii="宋体" w:hAnsi="宋体" w:eastAsia="宋体" w:cs="Times New Roman"/>
                <w:b/>
                <w:bCs/>
                <w:sz w:val="21"/>
                <w:szCs w:val="21"/>
                <w:lang w:val="en-US" w:eastAsia="zh-CN"/>
              </w:rPr>
              <w:t>/</w:t>
            </w:r>
            <w:r>
              <w:rPr>
                <w:rFonts w:hint="eastAsia" w:ascii="宋体" w:hAnsi="宋体" w:cs="Times New Roman"/>
                <w:b/>
                <w:bCs/>
                <w:sz w:val="21"/>
                <w:szCs w:val="21"/>
                <w:lang w:val="en-US" w:eastAsia="zh-CN"/>
              </w:rPr>
              <w:t>5</w:t>
            </w:r>
            <w:r>
              <w:rPr>
                <w:rFonts w:hint="eastAsia" w:ascii="宋体" w:hAnsi="宋体" w:eastAsia="宋体" w:cs="Times New Roman"/>
                <w:b/>
                <w:bCs/>
                <w:sz w:val="21"/>
                <w:szCs w:val="21"/>
              </w:rPr>
              <w:t>.</w:t>
            </w:r>
            <w:r>
              <w:rPr>
                <w:rFonts w:hint="eastAsia" w:ascii="宋体" w:hAnsi="宋体" w:cs="Times New Roman"/>
                <w:b/>
                <w:bCs/>
                <w:sz w:val="21"/>
                <w:szCs w:val="21"/>
                <w:lang w:val="en-US" w:eastAsia="zh-CN"/>
              </w:rPr>
              <w:t>3</w:t>
            </w:r>
            <w:r>
              <w:rPr>
                <w:rFonts w:hint="eastAsia" w:ascii="宋体" w:hAnsi="宋体" w:eastAsia="宋体" w:cs="Times New Roman"/>
                <w:b/>
                <w:bCs/>
                <w:sz w:val="21"/>
                <w:szCs w:val="21"/>
                <w:lang w:val="en-US" w:eastAsia="zh-CN"/>
              </w:rPr>
              <w:t>/</w:t>
            </w:r>
            <w:r>
              <w:rPr>
                <w:rFonts w:hint="eastAsia" w:ascii="宋体" w:hAnsi="宋体" w:cs="Times New Roman"/>
                <w:b/>
                <w:bCs/>
                <w:sz w:val="21"/>
                <w:szCs w:val="21"/>
                <w:lang w:val="en-US" w:eastAsia="zh-CN"/>
              </w:rPr>
              <w:t>6.1/7</w:t>
            </w:r>
            <w:r>
              <w:rPr>
                <w:rFonts w:hint="eastAsia" w:ascii="宋体" w:hAnsi="宋体" w:eastAsia="宋体" w:cs="Times New Roman"/>
                <w:b/>
                <w:bCs/>
                <w:sz w:val="21"/>
                <w:szCs w:val="21"/>
              </w:rPr>
              <w:t>.1</w:t>
            </w:r>
            <w:r>
              <w:rPr>
                <w:rFonts w:hint="eastAsia" w:ascii="宋体" w:hAnsi="宋体" w:cs="Times New Roman"/>
                <w:b/>
                <w:bCs/>
                <w:sz w:val="21"/>
                <w:szCs w:val="21"/>
                <w:lang w:val="en-US" w:eastAsia="zh-CN"/>
              </w:rPr>
              <w:t>/9.1.1/</w:t>
            </w:r>
            <w:r>
              <w:rPr>
                <w:rFonts w:hint="eastAsia" w:ascii="宋体" w:hAnsi="宋体" w:eastAsia="宋体" w:cs="Times New Roman"/>
                <w:b/>
                <w:bCs/>
                <w:sz w:val="21"/>
                <w:szCs w:val="21"/>
              </w:rPr>
              <w:t>9.</w:t>
            </w:r>
            <w:r>
              <w:rPr>
                <w:rFonts w:hint="eastAsia" w:ascii="宋体" w:hAnsi="宋体" w:cs="Times New Roman"/>
                <w:b/>
                <w:bCs/>
                <w:sz w:val="21"/>
                <w:szCs w:val="21"/>
                <w:lang w:val="en-US" w:eastAsia="zh-CN"/>
              </w:rPr>
              <w:t>3</w:t>
            </w:r>
            <w:r>
              <w:rPr>
                <w:rFonts w:hint="eastAsia" w:ascii="宋体" w:hAnsi="宋体" w:eastAsia="宋体" w:cs="Times New Roman"/>
                <w:b/>
                <w:bCs/>
                <w:sz w:val="21"/>
                <w:szCs w:val="21"/>
                <w:lang w:val="en-US" w:eastAsia="zh-CN"/>
              </w:rPr>
              <w:t>/</w:t>
            </w:r>
            <w:r>
              <w:rPr>
                <w:rFonts w:hint="eastAsia" w:ascii="宋体" w:hAnsi="宋体" w:eastAsia="宋体" w:cs="Times New Roman"/>
                <w:b/>
                <w:bCs/>
                <w:sz w:val="21"/>
                <w:szCs w:val="21"/>
              </w:rPr>
              <w:t xml:space="preserve">10.2 </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pStyle w:val="2"/>
              <w:rPr>
                <w:lang w:val="en-US" w:eastAsia="zh-CN"/>
              </w:rPr>
            </w:pPr>
            <w:r>
              <w:rPr>
                <w:rFonts w:hint="eastAsia" w:ascii="宋体" w:hAnsi="宋体" w:eastAsia="宋体" w:cs="Times New Roman"/>
                <w:bCs w:val="0"/>
                <w:spacing w:val="0"/>
                <w:kern w:val="2"/>
                <w:sz w:val="21"/>
                <w:szCs w:val="21"/>
                <w:lang w:val="en-US" w:eastAsia="zh-CN" w:bidi="ar-SA"/>
              </w:rPr>
              <w:t>能源管理体系策划、过程识别和策划及实施；适用法律法规识别</w:t>
            </w:r>
          </w:p>
        </w:tc>
        <w:tc>
          <w:tcPr>
            <w:tcW w:w="957" w:type="dxa"/>
            <w:vAlign w:val="top"/>
          </w:tcPr>
          <w:p>
            <w:pPr>
              <w:rPr>
                <w:rFonts w:hint="default" w:ascii="Times New Roman" w:hAnsi="Times New Roman" w:eastAsia="宋体" w:cs="Times New Roman"/>
                <w:kern w:val="2"/>
                <w:sz w:val="21"/>
                <w:lang w:val="en-US" w:eastAsia="zh-CN" w:bidi="ar-SA"/>
              </w:rPr>
            </w:pPr>
            <w:r>
              <w:rPr>
                <w:rFonts w:hint="eastAsia" w:ascii="宋体" w:hAnsi="宋体"/>
                <w:szCs w:val="21"/>
              </w:rPr>
              <w:t>4.1</w:t>
            </w:r>
            <w:r>
              <w:rPr>
                <w:rFonts w:hint="eastAsia" w:ascii="宋体" w:hAnsi="宋体"/>
                <w:szCs w:val="21"/>
                <w:lang w:val="en-US" w:eastAsia="zh-CN"/>
              </w:rPr>
              <w:t>/4.2/4.4</w:t>
            </w:r>
          </w:p>
        </w:tc>
        <w:tc>
          <w:tcPr>
            <w:tcW w:w="10007" w:type="dxa"/>
            <w:vAlign w:val="top"/>
          </w:tcPr>
          <w:p>
            <w:pPr>
              <w:pStyle w:val="14"/>
              <w:keepNext w:val="0"/>
              <w:keepLines w:val="0"/>
              <w:pageBreakBefore w:val="0"/>
              <w:widowControl w:val="0"/>
              <w:kinsoku/>
              <w:wordWrap/>
              <w:overflowPunct/>
              <w:topLinePunct w:val="0"/>
              <w:autoSpaceDE/>
              <w:autoSpaceDN/>
              <w:bidi w:val="0"/>
              <w:adjustRightInd/>
              <w:snapToGrid/>
              <w:spacing w:before="120" w:after="0" w:line="240" w:lineRule="auto"/>
              <w:textAlignment w:val="auto"/>
              <w:rPr>
                <w:rFonts w:hint="eastAsia"/>
                <w:lang w:val="en-US" w:eastAsia="zh-CN"/>
              </w:rPr>
            </w:pPr>
            <w:r>
              <w:rPr>
                <w:rFonts w:hint="eastAsia"/>
                <w:lang w:val="en-US" w:eastAsia="zh-CN"/>
              </w:rPr>
              <w:t>以企业总经理洪文富进行沟通，了解企业的内外部环境及能源管理体系策划和实施情况：</w:t>
            </w:r>
          </w:p>
          <w:p>
            <w:pPr>
              <w:keepNext w:val="0"/>
              <w:keepLines w:val="0"/>
              <w:pageBreakBefore w:val="0"/>
              <w:kinsoku/>
              <w:wordWrap/>
              <w:overflowPunct/>
              <w:topLinePunct w:val="0"/>
              <w:autoSpaceDE w:val="0"/>
              <w:autoSpaceDN w:val="0"/>
              <w:bidi w:val="0"/>
              <w:adjustRightInd w:val="0"/>
              <w:snapToGrid/>
              <w:spacing w:before="120" w:line="240" w:lineRule="auto"/>
              <w:textAlignment w:val="auto"/>
              <w:rPr>
                <w:rFonts w:hint="default" w:eastAsia="宋体"/>
                <w:szCs w:val="22"/>
                <w:lang w:val="en-US" w:eastAsia="zh-CN"/>
              </w:rPr>
            </w:pPr>
            <w:r>
              <w:rPr>
                <w:rFonts w:hint="eastAsia" w:eastAsia="宋体"/>
                <w:szCs w:val="22"/>
                <w:lang w:val="en-US" w:eastAsia="zh-CN"/>
              </w:rPr>
              <w:t>福建省联丰盛漂染植绒有限公司，系外商独资企业，主要经营对各类纯棉、涤棉、锦棉等梭织面料的染整深加工，并根据客户要求进行各种印染整理；致力于新工艺、新产品的研发。</w:t>
            </w:r>
          </w:p>
          <w:p>
            <w:pPr>
              <w:keepNext w:val="0"/>
              <w:keepLines w:val="0"/>
              <w:pageBreakBefore w:val="0"/>
              <w:kinsoku/>
              <w:wordWrap/>
              <w:overflowPunct/>
              <w:topLinePunct w:val="0"/>
              <w:autoSpaceDE w:val="0"/>
              <w:autoSpaceDN w:val="0"/>
              <w:bidi w:val="0"/>
              <w:adjustRightInd w:val="0"/>
              <w:snapToGrid/>
              <w:spacing w:before="120" w:line="240" w:lineRule="auto"/>
              <w:textAlignment w:val="auto"/>
              <w:rPr>
                <w:rFonts w:hint="eastAsia" w:eastAsia="宋体"/>
                <w:szCs w:val="22"/>
                <w:lang w:val="en-US" w:eastAsia="zh-CN"/>
              </w:rPr>
            </w:pPr>
            <w:r>
              <w:rPr>
                <w:rFonts w:hint="eastAsia" w:eastAsia="宋体"/>
                <w:szCs w:val="22"/>
                <w:lang w:val="en-US" w:eastAsia="zh-CN"/>
              </w:rPr>
              <w:t>占地约七十亩，注册资金7000万元人民币，实际总投资超过2亿元。拥有6条长车轧染流水线，</w:t>
            </w:r>
            <w:r>
              <w:rPr>
                <w:rFonts w:hint="default" w:eastAsia="宋体"/>
                <w:szCs w:val="22"/>
                <w:lang w:val="en-US" w:eastAsia="zh-CN"/>
              </w:rPr>
              <w:t>21</w:t>
            </w:r>
            <w:r>
              <w:rPr>
                <w:rFonts w:hint="eastAsia" w:eastAsia="宋体"/>
                <w:szCs w:val="22"/>
                <w:lang w:val="en-US" w:eastAsia="zh-CN"/>
              </w:rPr>
              <w:t>台常温卷染机，及其它相关进口设备等。一流的厂房机台设备，雄厚的技术力量，科学、严密、人性化的监测管理。公司近年上缴税费均达五百多万元，荣获“甲类纳税企业”、“纳税信用A级纳税人”、“AAA级信用企业”等多项荣誉称号。</w:t>
            </w:r>
          </w:p>
          <w:p>
            <w:pPr>
              <w:keepNext w:val="0"/>
              <w:keepLines w:val="0"/>
              <w:pageBreakBefore w:val="0"/>
              <w:kinsoku/>
              <w:wordWrap/>
              <w:overflowPunct/>
              <w:topLinePunct w:val="0"/>
              <w:autoSpaceDE w:val="0"/>
              <w:autoSpaceDN w:val="0"/>
              <w:bidi w:val="0"/>
              <w:adjustRightInd w:val="0"/>
              <w:snapToGrid/>
              <w:spacing w:before="120" w:line="240" w:lineRule="auto"/>
              <w:textAlignment w:val="auto"/>
              <w:rPr>
                <w:rFonts w:hint="eastAsia" w:eastAsia="宋体"/>
                <w:szCs w:val="22"/>
                <w:lang w:val="en-US" w:eastAsia="zh-CN"/>
              </w:rPr>
            </w:pPr>
            <w:r>
              <w:rPr>
                <w:rFonts w:hint="eastAsia" w:eastAsia="宋体"/>
                <w:szCs w:val="22"/>
                <w:lang w:val="en-US" w:eastAsia="zh-CN"/>
              </w:rPr>
              <w:t>通过</w:t>
            </w:r>
            <w:r>
              <w:rPr>
                <w:rFonts w:hint="default" w:eastAsia="宋体"/>
                <w:szCs w:val="22"/>
                <w:lang w:val="en-US" w:eastAsia="zh-CN"/>
              </w:rPr>
              <w:t>ISO9001</w:t>
            </w:r>
            <w:r>
              <w:rPr>
                <w:rFonts w:hint="eastAsia" w:eastAsia="宋体"/>
                <w:szCs w:val="22"/>
                <w:lang w:val="en-US" w:eastAsia="zh-CN"/>
              </w:rPr>
              <w:t>︰</w:t>
            </w:r>
            <w:r>
              <w:rPr>
                <w:rFonts w:hint="default" w:eastAsia="宋体"/>
                <w:szCs w:val="22"/>
                <w:lang w:val="en-US" w:eastAsia="zh-CN"/>
              </w:rPr>
              <w:t>2008</w:t>
            </w:r>
            <w:r>
              <w:rPr>
                <w:rFonts w:hint="eastAsia" w:eastAsia="宋体"/>
                <w:szCs w:val="22"/>
                <w:lang w:val="en-US" w:eastAsia="zh-CN"/>
              </w:rPr>
              <w:t>质量管理体系和</w:t>
            </w:r>
            <w:r>
              <w:rPr>
                <w:rFonts w:hint="default" w:eastAsia="宋体"/>
                <w:szCs w:val="22"/>
                <w:lang w:val="en-US" w:eastAsia="zh-CN"/>
              </w:rPr>
              <w:t>ISO14001</w:t>
            </w:r>
            <w:r>
              <w:rPr>
                <w:rFonts w:hint="eastAsia" w:eastAsia="宋体"/>
                <w:szCs w:val="22"/>
                <w:lang w:val="en-US" w:eastAsia="zh-CN"/>
              </w:rPr>
              <w:t>︰</w:t>
            </w:r>
            <w:r>
              <w:rPr>
                <w:rFonts w:hint="default" w:eastAsia="宋体"/>
                <w:szCs w:val="22"/>
                <w:lang w:val="en-US" w:eastAsia="zh-CN"/>
              </w:rPr>
              <w:t>2004</w:t>
            </w:r>
            <w:r>
              <w:rPr>
                <w:rFonts w:hint="eastAsia" w:eastAsia="宋体"/>
                <w:szCs w:val="22"/>
                <w:lang w:val="en-US" w:eastAsia="zh-CN"/>
              </w:rPr>
              <w:t>环境管理体系的认证。建立了清洁生产体系、安全生产体系。正在建立能源管理体系、能源三级计量体系。</w:t>
            </w:r>
          </w:p>
          <w:p>
            <w:pPr>
              <w:keepNext w:val="0"/>
              <w:keepLines w:val="0"/>
              <w:pageBreakBefore w:val="0"/>
              <w:kinsoku/>
              <w:wordWrap/>
              <w:overflowPunct/>
              <w:topLinePunct w:val="0"/>
              <w:autoSpaceDE w:val="0"/>
              <w:autoSpaceDN w:val="0"/>
              <w:bidi w:val="0"/>
              <w:adjustRightInd w:val="0"/>
              <w:snapToGrid/>
              <w:spacing w:before="120" w:line="240" w:lineRule="auto"/>
              <w:textAlignment w:val="auto"/>
              <w:rPr>
                <w:rFonts w:hint="eastAsia" w:eastAsia="宋体"/>
                <w:szCs w:val="22"/>
                <w:lang w:val="en-US" w:eastAsia="zh-CN"/>
              </w:rPr>
            </w:pPr>
            <w:r>
              <w:rPr>
                <w:rFonts w:hint="eastAsia" w:eastAsia="宋体"/>
                <w:szCs w:val="22"/>
                <w:lang w:val="en-US" w:eastAsia="zh-CN"/>
              </w:rPr>
              <w:t>公司秉承以人为本的理念，努力为员工创造良好的工作环境；配备了文体活动中心、图书阅览室、灯光篮球场等。公司免费提供住宿，宿舍配有卫生间和储物间，每间宿舍都安装空调，并提供闭路电视信号，有条件的员工可以安装宽带上网。所有宿舍均能用上热水。双职工及部分重要职位员工可住夫妻房。配备两间员工食堂。高层管理人员和高级技术人员的宿舍里，厨房、冰箱、洗衣机、空调、电视、宽带等等一应俱全。</w:t>
            </w:r>
          </w:p>
          <w:p>
            <w:pPr>
              <w:keepNext w:val="0"/>
              <w:keepLines w:val="0"/>
              <w:pageBreakBefore w:val="0"/>
              <w:kinsoku/>
              <w:wordWrap/>
              <w:overflowPunct/>
              <w:topLinePunct w:val="0"/>
              <w:autoSpaceDE w:val="0"/>
              <w:autoSpaceDN w:val="0"/>
              <w:bidi w:val="0"/>
              <w:adjustRightInd w:val="0"/>
              <w:snapToGrid/>
              <w:spacing w:before="120" w:line="240" w:lineRule="auto"/>
              <w:textAlignment w:val="auto"/>
              <w:rPr>
                <w:rFonts w:hint="eastAsia" w:eastAsia="宋体"/>
                <w:szCs w:val="22"/>
                <w:lang w:val="en-US" w:eastAsia="zh-CN"/>
              </w:rPr>
            </w:pPr>
            <w:r>
              <w:rPr>
                <w:rFonts w:hint="eastAsia" w:eastAsia="宋体"/>
                <w:szCs w:val="22"/>
                <w:lang w:val="en-US" w:eastAsia="zh-CN"/>
              </w:rPr>
              <w:t>该公司坚持以“诚信、高效、优质、创新”为宗旨，以“高效务实、以质取胜、求新发展、客户至上”为企业经营理念，一“布”一个脚印，以科学的管理保证一流的质量，以优良的产品树立品牌的形象。</w:t>
            </w:r>
          </w:p>
          <w:p>
            <w:pPr>
              <w:keepNext w:val="0"/>
              <w:keepLines w:val="0"/>
              <w:pageBreakBefore w:val="0"/>
              <w:kinsoku/>
              <w:wordWrap/>
              <w:overflowPunct/>
              <w:topLinePunct w:val="0"/>
              <w:autoSpaceDE w:val="0"/>
              <w:autoSpaceDN w:val="0"/>
              <w:bidi w:val="0"/>
              <w:adjustRightInd w:val="0"/>
              <w:snapToGrid/>
              <w:spacing w:before="120" w:line="240" w:lineRule="auto"/>
              <w:textAlignment w:val="auto"/>
              <w:rPr>
                <w:rFonts w:hint="default"/>
                <w:lang w:val="en-US" w:eastAsia="zh-CN"/>
              </w:rPr>
            </w:pPr>
            <w:r>
              <w:rPr>
                <w:rFonts w:hint="eastAsia"/>
                <w:lang w:val="en-US" w:eastAsia="zh-CN"/>
              </w:rPr>
              <w:t>能源管理体系的策划和实施：企业编制了《组织环境与相关方要求控制程序》，确定了有关的外部和内部问题，以确保实现能源管理预产品和服务提供过程中发生的各种内外部因素，实施能源管理。定期召开经营管理会议，对这些中高风险进行监视和评审，充分识别、消除，降低风险，利用发展机遇，保证实现企业效益及能源管理体系预期结果。</w:t>
            </w:r>
          </w:p>
          <w:p>
            <w:pPr>
              <w:keepNext w:val="0"/>
              <w:keepLines w:val="0"/>
              <w:pageBreakBefore w:val="0"/>
              <w:widowControl w:val="0"/>
              <w:kinsoku/>
              <w:wordWrap/>
              <w:overflowPunct/>
              <w:topLinePunct w:val="0"/>
              <w:autoSpaceDE w:val="0"/>
              <w:autoSpaceDN w:val="0"/>
              <w:bidi w:val="0"/>
              <w:adjustRightInd w:val="0"/>
              <w:snapToGrid/>
              <w:spacing w:before="120" w:after="0" w:line="240" w:lineRule="auto"/>
              <w:textAlignment w:val="auto"/>
              <w:rPr>
                <w:rFonts w:hint="eastAsia"/>
                <w:lang w:val="en-US" w:eastAsia="zh-CN"/>
              </w:rPr>
            </w:pPr>
            <w:r>
              <w:rPr>
                <w:rFonts w:hint="eastAsia"/>
                <w:lang w:val="en-US" w:eastAsia="zh-CN"/>
              </w:rPr>
              <w:t>行政部具体负责定期组织对这些内外部问题的相关信息进行监视和评审，以确保其充分和适宜。</w:t>
            </w:r>
          </w:p>
          <w:p>
            <w:pPr>
              <w:keepNext w:val="0"/>
              <w:keepLines w:val="0"/>
              <w:pageBreakBefore w:val="0"/>
              <w:kinsoku/>
              <w:wordWrap/>
              <w:overflowPunct/>
              <w:topLinePunct w:val="0"/>
              <w:autoSpaceDE w:val="0"/>
              <w:autoSpaceDN w:val="0"/>
              <w:bidi w:val="0"/>
              <w:adjustRightInd w:val="0"/>
              <w:snapToGrid/>
              <w:spacing w:before="120" w:line="240" w:lineRule="auto"/>
              <w:textAlignment w:val="auto"/>
              <w:rPr>
                <w:rFonts w:hint="eastAsia" w:ascii="Times New Roman" w:hAnsi="Times New Roman" w:cs="Times New Roman"/>
                <w:szCs w:val="22"/>
                <w:lang w:val="en-US" w:eastAsia="zh-CN"/>
              </w:rPr>
            </w:pPr>
            <w:r>
              <w:rPr>
                <w:rFonts w:hint="eastAsia"/>
                <w:lang w:val="en-US" w:eastAsia="zh-CN"/>
              </w:rPr>
              <w:t>公</w:t>
            </w:r>
            <w:r>
              <w:rPr>
                <w:rFonts w:hint="eastAsia" w:ascii="Times New Roman" w:hAnsi="Times New Roman" w:cs="Times New Roman"/>
                <w:szCs w:val="22"/>
                <w:lang w:val="en-US" w:eastAsia="zh-CN"/>
              </w:rPr>
              <w:t>司编制了《组织环境与相关方要求控制程序》确定：与能源效益和能源管理系统有关的利害关系方;这些利害关系方的相关要求;组织通过其能源管理体系处理哪些确定的需求和期望。</w:t>
            </w:r>
          </w:p>
          <w:p>
            <w:pPr>
              <w:keepNext w:val="0"/>
              <w:keepLines w:val="0"/>
              <w:pageBreakBefore w:val="0"/>
              <w:kinsoku/>
              <w:wordWrap/>
              <w:overflowPunct/>
              <w:topLinePunct w:val="0"/>
              <w:autoSpaceDE w:val="0"/>
              <w:autoSpaceDN w:val="0"/>
              <w:bidi w:val="0"/>
              <w:adjustRightInd w:val="0"/>
              <w:snapToGrid/>
              <w:spacing w:before="120" w:line="240" w:lineRule="auto"/>
              <w:textAlignment w:val="auto"/>
              <w:rPr>
                <w:rFonts w:hint="default" w:ascii="Times New Roman" w:hAnsi="Times New Roman" w:cs="Times New Roman"/>
                <w:szCs w:val="22"/>
                <w:lang w:val="en-US" w:eastAsia="zh-CN"/>
              </w:rPr>
            </w:pPr>
            <w:r>
              <w:rPr>
                <w:rFonts w:hint="eastAsia" w:ascii="Times New Roman" w:hAnsi="Times New Roman" w:cs="Times New Roman"/>
                <w:szCs w:val="22"/>
                <w:lang w:val="en-US" w:eastAsia="zh-CN"/>
              </w:rPr>
              <w:t>企业的</w:t>
            </w:r>
            <w:r>
              <w:rPr>
                <w:rFonts w:hint="default" w:ascii="Times New Roman" w:hAnsi="Times New Roman" w:cs="Times New Roman"/>
                <w:szCs w:val="22"/>
                <w:lang w:val="en-US" w:eastAsia="zh-CN"/>
              </w:rPr>
              <w:t>相关方包括：顾客、股东、员工、银行、外部供方、雇员及其他为组织工作者、法律法规及监管机关、非政府组织等。</w:t>
            </w:r>
          </w:p>
          <w:p>
            <w:pPr>
              <w:keepNext w:val="0"/>
              <w:keepLines w:val="0"/>
              <w:pageBreakBefore w:val="0"/>
              <w:kinsoku/>
              <w:wordWrap/>
              <w:overflowPunct/>
              <w:topLinePunct w:val="0"/>
              <w:autoSpaceDE w:val="0"/>
              <w:autoSpaceDN w:val="0"/>
              <w:bidi w:val="0"/>
              <w:adjustRightInd w:val="0"/>
              <w:snapToGrid/>
              <w:spacing w:before="120" w:line="240" w:lineRule="auto"/>
              <w:textAlignment w:val="auto"/>
              <w:rPr>
                <w:rFonts w:hint="eastAsia" w:ascii="Times New Roman" w:hAnsi="Times New Roman" w:cs="Times New Roman"/>
                <w:szCs w:val="22"/>
                <w:lang w:val="en-US" w:eastAsia="zh-CN"/>
              </w:rPr>
            </w:pPr>
            <w:r>
              <w:rPr>
                <w:rFonts w:hint="eastAsia" w:ascii="Times New Roman" w:hAnsi="Times New Roman" w:cs="Times New Roman"/>
                <w:szCs w:val="22"/>
                <w:lang w:val="en-US" w:eastAsia="zh-CN"/>
              </w:rPr>
              <w:t>公司应对这些相关方及其要求的相关信息进行监视和评审，以便于理解和持续满足相关方的需求和期望。</w:t>
            </w:r>
          </w:p>
          <w:p>
            <w:pPr>
              <w:keepNext w:val="0"/>
              <w:keepLines w:val="0"/>
              <w:pageBreakBefore w:val="0"/>
              <w:kinsoku/>
              <w:wordWrap/>
              <w:overflowPunct/>
              <w:topLinePunct w:val="0"/>
              <w:autoSpaceDE w:val="0"/>
              <w:autoSpaceDN w:val="0"/>
              <w:bidi w:val="0"/>
              <w:adjustRightInd w:val="0"/>
              <w:snapToGrid/>
              <w:spacing w:before="120" w:line="240" w:lineRule="auto"/>
              <w:textAlignment w:val="auto"/>
              <w:rPr>
                <w:rFonts w:hint="eastAsia" w:ascii="Times New Roman" w:hAnsi="Times New Roman" w:cs="Times New Roman"/>
                <w:szCs w:val="22"/>
                <w:lang w:val="en-US" w:eastAsia="zh-CN"/>
              </w:rPr>
            </w:pPr>
            <w:r>
              <w:rPr>
                <w:rFonts w:hint="eastAsia" w:ascii="Times New Roman" w:hAnsi="Times New Roman" w:cs="Times New Roman"/>
                <w:szCs w:val="22"/>
                <w:lang w:val="en-US" w:eastAsia="zh-CN"/>
              </w:rPr>
              <w:t>企业识别了与其能源效率、能源使用和能源消耗相关的适用法律要求和其他要求;见法律法规清单及合规性评价；</w:t>
            </w:r>
          </w:p>
          <w:p>
            <w:pPr>
              <w:keepNext w:val="0"/>
              <w:keepLines w:val="0"/>
              <w:pageBreakBefore w:val="0"/>
              <w:kinsoku/>
              <w:wordWrap/>
              <w:overflowPunct/>
              <w:topLinePunct w:val="0"/>
              <w:autoSpaceDE w:val="0"/>
              <w:autoSpaceDN w:val="0"/>
              <w:bidi w:val="0"/>
              <w:adjustRightInd w:val="0"/>
              <w:snapToGrid/>
              <w:spacing w:before="120" w:line="240" w:lineRule="auto"/>
              <w:textAlignment w:val="auto"/>
              <w:rPr>
                <w:rFonts w:hint="eastAsia" w:ascii="Times New Roman" w:hAnsi="Times New Roman" w:cs="Times New Roman"/>
                <w:szCs w:val="22"/>
                <w:lang w:val="en-US" w:eastAsia="zh-CN"/>
              </w:rPr>
            </w:pPr>
            <w:r>
              <w:rPr>
                <w:rFonts w:hint="eastAsia" w:ascii="Times New Roman" w:hAnsi="Times New Roman" w:cs="Times New Roman"/>
                <w:szCs w:val="22"/>
                <w:lang w:val="en-US" w:eastAsia="zh-CN"/>
              </w:rPr>
              <w:t>编制了能源评审报告确定这些要求适用于其能源效率、能源使用和能源消耗。</w:t>
            </w:r>
          </w:p>
          <w:p>
            <w:pPr>
              <w:keepNext w:val="0"/>
              <w:keepLines w:val="0"/>
              <w:pageBreakBefore w:val="0"/>
              <w:kinsoku/>
              <w:wordWrap/>
              <w:overflowPunct/>
              <w:topLinePunct w:val="0"/>
              <w:autoSpaceDE w:val="0"/>
              <w:autoSpaceDN w:val="0"/>
              <w:bidi w:val="0"/>
              <w:adjustRightInd w:val="0"/>
              <w:snapToGrid/>
              <w:spacing w:before="120" w:line="240" w:lineRule="auto"/>
              <w:textAlignment w:val="auto"/>
              <w:rPr>
                <w:rFonts w:hint="eastAsia" w:ascii="Times New Roman" w:hAnsi="Times New Roman" w:cs="Times New Roman"/>
                <w:szCs w:val="22"/>
                <w:lang w:val="en-US" w:eastAsia="zh-CN"/>
              </w:rPr>
            </w:pPr>
            <w:r>
              <w:rPr>
                <w:rFonts w:hint="eastAsia" w:ascii="Times New Roman" w:hAnsi="Times New Roman" w:cs="Times New Roman"/>
                <w:szCs w:val="22"/>
                <w:lang w:val="en-US" w:eastAsia="zh-CN"/>
              </w:rPr>
              <w:t>该企业根据组织规模及其生产流程、产品和服务的类型及能源管理体系标准和行业认证的要求，建立、实施、维护和持续改进能源管理体系，包括所需的过程及其相互作用，人员的能力，以及企业发展的要求和持续改进能源有效性。</w:t>
            </w:r>
          </w:p>
          <w:p>
            <w:pPr>
              <w:keepNext w:val="0"/>
              <w:keepLines w:val="0"/>
              <w:pageBreakBefore w:val="0"/>
              <w:kinsoku/>
              <w:wordWrap/>
              <w:overflowPunct/>
              <w:topLinePunct w:val="0"/>
              <w:autoSpaceDE w:val="0"/>
              <w:autoSpaceDN w:val="0"/>
              <w:bidi w:val="0"/>
              <w:adjustRightInd w:val="0"/>
              <w:snapToGrid/>
              <w:spacing w:before="120" w:line="240" w:lineRule="auto"/>
              <w:textAlignment w:val="auto"/>
              <w:rPr>
                <w:rFonts w:hint="default" w:ascii="宋体" w:hAnsi="宋体" w:eastAsia="宋体" w:cs="Times New Roman"/>
                <w:bCs w:val="0"/>
                <w:spacing w:val="0"/>
                <w:kern w:val="2"/>
                <w:sz w:val="21"/>
                <w:szCs w:val="21"/>
                <w:lang w:val="en-US" w:eastAsia="zh-CN" w:bidi="ar-SA"/>
              </w:rPr>
            </w:pPr>
            <w:r>
              <w:rPr>
                <w:rFonts w:hint="eastAsia" w:ascii="Times New Roman" w:hAnsi="Times New Roman" w:cs="Times New Roman"/>
                <w:szCs w:val="22"/>
                <w:lang w:val="en-US" w:eastAsia="zh-CN"/>
              </w:rPr>
              <w:t>企业总人数</w:t>
            </w:r>
            <w:r>
              <w:rPr>
                <w:rFonts w:hint="eastAsia" w:cs="Times New Roman"/>
                <w:szCs w:val="22"/>
                <w:highlight w:val="none"/>
                <w:lang w:val="en-US" w:eastAsia="zh-CN"/>
              </w:rPr>
              <w:t>165</w:t>
            </w:r>
            <w:r>
              <w:rPr>
                <w:rFonts w:hint="eastAsia" w:ascii="Times New Roman" w:hAnsi="Times New Roman" w:cs="Times New Roman"/>
                <w:szCs w:val="22"/>
                <w:highlight w:val="none"/>
                <w:lang w:val="en-US" w:eastAsia="zh-CN"/>
              </w:rPr>
              <w:t>人，能源管理体系覆盖</w:t>
            </w:r>
            <w:r>
              <w:rPr>
                <w:rFonts w:hint="eastAsia" w:cs="Times New Roman"/>
                <w:szCs w:val="22"/>
                <w:highlight w:val="none"/>
                <w:lang w:val="en-US" w:eastAsia="zh-CN"/>
              </w:rPr>
              <w:t>65</w:t>
            </w:r>
            <w:r>
              <w:rPr>
                <w:rFonts w:hint="eastAsia" w:ascii="Times New Roman" w:hAnsi="Times New Roman" w:cs="Times New Roman"/>
                <w:szCs w:val="22"/>
                <w:highlight w:val="none"/>
                <w:lang w:val="en-US" w:eastAsia="zh-CN"/>
              </w:rPr>
              <w:t>人</w:t>
            </w:r>
            <w:r>
              <w:rPr>
                <w:rFonts w:hint="eastAsia" w:ascii="Times New Roman" w:hAnsi="Times New Roman" w:cs="Times New Roman"/>
                <w:szCs w:val="22"/>
                <w:lang w:val="en-US" w:eastAsia="zh-CN"/>
              </w:rPr>
              <w:t>。</w:t>
            </w: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rPr>
                <w:rFonts w:hint="default" w:ascii="宋体" w:hAnsi="宋体" w:eastAsia="宋体" w:cs="Times New Roman"/>
                <w:b/>
                <w:bCs/>
                <w:kern w:val="2"/>
                <w:sz w:val="21"/>
                <w:szCs w:val="21"/>
                <w:lang w:val="en-US" w:eastAsia="zh-CN" w:bidi="ar-SA"/>
              </w:rPr>
            </w:pPr>
            <w:r>
              <w:rPr>
                <w:rFonts w:hint="eastAsia" w:ascii="宋体" w:hAnsi="宋体"/>
                <w:szCs w:val="21"/>
              </w:rPr>
              <w:t>确定能源管理体系的</w:t>
            </w:r>
            <w:r>
              <w:rPr>
                <w:rFonts w:hint="eastAsia" w:ascii="宋体" w:hAnsi="宋体" w:cs="Times New Roman"/>
                <w:szCs w:val="21"/>
                <w:lang w:val="en-US" w:eastAsia="zh-CN"/>
              </w:rPr>
              <w:t>认证和审核范围</w:t>
            </w:r>
          </w:p>
        </w:tc>
        <w:tc>
          <w:tcPr>
            <w:tcW w:w="957" w:type="dxa"/>
            <w:vAlign w:val="top"/>
          </w:tcPr>
          <w:p>
            <w:pPr>
              <w:rPr>
                <w:rFonts w:hint="default" w:ascii="宋体" w:hAnsi="宋体" w:eastAsia="宋体" w:cs="Times New Roman"/>
                <w:b/>
                <w:bCs/>
                <w:kern w:val="2"/>
                <w:sz w:val="21"/>
                <w:szCs w:val="21"/>
                <w:lang w:val="en-US" w:eastAsia="zh-CN" w:bidi="ar-SA"/>
              </w:rPr>
            </w:pPr>
            <w:r>
              <w:rPr>
                <w:rFonts w:hint="eastAsia" w:ascii="宋体" w:hAnsi="宋体"/>
                <w:szCs w:val="21"/>
              </w:rPr>
              <w:t xml:space="preserve">4.3 </w:t>
            </w:r>
          </w:p>
        </w:tc>
        <w:tc>
          <w:tcPr>
            <w:tcW w:w="10007" w:type="dxa"/>
            <w:vAlign w:val="top"/>
          </w:tcPr>
          <w:p>
            <w:pPr>
              <w:pStyle w:val="14"/>
              <w:keepNext w:val="0"/>
              <w:keepLines w:val="0"/>
              <w:pageBreakBefore w:val="0"/>
              <w:widowControl w:val="0"/>
              <w:kinsoku/>
              <w:wordWrap/>
              <w:overflowPunct/>
              <w:topLinePunct w:val="0"/>
              <w:autoSpaceDE/>
              <w:autoSpaceDN/>
              <w:bidi w:val="0"/>
              <w:adjustRightInd/>
              <w:snapToGrid/>
              <w:spacing w:before="120" w:after="0" w:line="240" w:lineRule="auto"/>
              <w:textAlignment w:val="auto"/>
              <w:rPr>
                <w:rFonts w:hint="default" w:ascii="宋体" w:hAnsi="宋体" w:eastAsia="宋体" w:cs="Times New Roman"/>
                <w:bCs w:val="0"/>
                <w:spacing w:val="0"/>
                <w:kern w:val="2"/>
                <w:sz w:val="21"/>
                <w:szCs w:val="21"/>
                <w:lang w:val="en-US" w:eastAsia="zh-CN" w:bidi="ar-SA"/>
              </w:rPr>
            </w:pPr>
            <w:r>
              <w:rPr>
                <w:rFonts w:hint="eastAsia" w:ascii="宋体" w:hAnsi="宋体" w:eastAsia="宋体" w:cs="Times New Roman"/>
                <w:bCs w:val="0"/>
                <w:spacing w:val="0"/>
                <w:kern w:val="2"/>
                <w:sz w:val="21"/>
                <w:szCs w:val="21"/>
                <w:lang w:val="en-US" w:eastAsia="zh-CN" w:bidi="ar-SA"/>
              </w:rPr>
              <w:t xml:space="preserve"> 该企业能源管理体系覆盖范围包括：</w:t>
            </w:r>
          </w:p>
          <w:p>
            <w:pPr>
              <w:pStyle w:val="14"/>
              <w:keepNext w:val="0"/>
              <w:keepLines w:val="0"/>
              <w:pageBreakBefore w:val="0"/>
              <w:widowControl w:val="0"/>
              <w:kinsoku/>
              <w:wordWrap/>
              <w:overflowPunct/>
              <w:topLinePunct w:val="0"/>
              <w:autoSpaceDE/>
              <w:autoSpaceDN/>
              <w:bidi w:val="0"/>
              <w:adjustRightInd/>
              <w:snapToGrid/>
              <w:spacing w:before="120" w:after="0" w:line="240" w:lineRule="auto"/>
              <w:textAlignment w:val="auto"/>
              <w:rPr>
                <w:rFonts w:hint="eastAsia" w:ascii="宋体" w:hAnsi="宋体" w:eastAsia="宋体" w:cs="Times New Roman"/>
                <w:bCs w:val="0"/>
                <w:spacing w:val="0"/>
                <w:kern w:val="2"/>
                <w:sz w:val="21"/>
                <w:szCs w:val="21"/>
                <w:lang w:val="en-US" w:eastAsia="zh-CN" w:bidi="ar-SA"/>
              </w:rPr>
            </w:pPr>
            <w:r>
              <w:rPr>
                <w:rFonts w:hint="eastAsia" w:ascii="宋体" w:hAnsi="宋体" w:eastAsia="宋体" w:cs="Times New Roman"/>
                <w:bCs w:val="0"/>
                <w:spacing w:val="0"/>
                <w:kern w:val="2"/>
                <w:sz w:val="21"/>
                <w:szCs w:val="21"/>
                <w:lang w:val="en-US" w:eastAsia="zh-CN" w:bidi="ar-SA"/>
              </w:rPr>
              <w:t>1.位于</w:t>
            </w:r>
            <w:bookmarkStart w:id="2" w:name="注册地址"/>
            <w:r>
              <w:rPr>
                <w:rFonts w:hint="eastAsia" w:ascii="宋体" w:hAnsi="宋体" w:eastAsia="宋体" w:cs="Times New Roman"/>
                <w:bCs w:val="0"/>
                <w:spacing w:val="0"/>
                <w:kern w:val="2"/>
                <w:sz w:val="21"/>
                <w:szCs w:val="21"/>
                <w:lang w:val="en-US" w:eastAsia="zh-CN" w:bidi="ar-SA"/>
              </w:rPr>
              <w:t>晋江市深沪镇东海安工业区</w:t>
            </w:r>
            <w:bookmarkEnd w:id="2"/>
            <w:r>
              <w:rPr>
                <w:rFonts w:hint="eastAsia" w:ascii="宋体" w:hAnsi="宋体" w:eastAsia="宋体" w:cs="Times New Roman"/>
                <w:bCs w:val="0"/>
                <w:spacing w:val="0"/>
                <w:kern w:val="2"/>
                <w:sz w:val="21"/>
                <w:szCs w:val="21"/>
                <w:lang w:val="en-US" w:eastAsia="zh-CN" w:bidi="ar-SA"/>
              </w:rPr>
              <w:t>，资质许可范围内染</w:t>
            </w:r>
            <w:r>
              <w:rPr>
                <w:rFonts w:hint="eastAsia" w:ascii="宋体" w:hAnsi="宋体" w:cs="Times New Roman"/>
                <w:bCs w:val="0"/>
                <w:spacing w:val="0"/>
                <w:kern w:val="2"/>
                <w:sz w:val="21"/>
                <w:szCs w:val="21"/>
                <w:lang w:val="en-US" w:eastAsia="zh-CN" w:bidi="ar-SA"/>
              </w:rPr>
              <w:t>整</w:t>
            </w:r>
            <w:r>
              <w:rPr>
                <w:rFonts w:hint="eastAsia" w:ascii="宋体" w:hAnsi="宋体" w:eastAsia="宋体" w:cs="Times New Roman"/>
                <w:bCs w:val="0"/>
                <w:spacing w:val="0"/>
                <w:kern w:val="2"/>
                <w:sz w:val="21"/>
                <w:szCs w:val="21"/>
                <w:lang w:val="en-US" w:eastAsia="zh-CN" w:bidi="ar-SA"/>
              </w:rPr>
              <w:t>产品生产所涉及的能源采购、转换、输运及使用的相关管理活动。</w:t>
            </w:r>
          </w:p>
          <w:p>
            <w:pPr>
              <w:pStyle w:val="14"/>
              <w:keepNext w:val="0"/>
              <w:keepLines w:val="0"/>
              <w:pageBreakBefore w:val="0"/>
              <w:widowControl w:val="0"/>
              <w:kinsoku/>
              <w:wordWrap/>
              <w:overflowPunct/>
              <w:topLinePunct w:val="0"/>
              <w:autoSpaceDE/>
              <w:autoSpaceDN/>
              <w:bidi w:val="0"/>
              <w:adjustRightInd/>
              <w:snapToGrid/>
              <w:spacing w:before="120" w:after="0" w:line="240" w:lineRule="auto"/>
              <w:textAlignment w:val="auto"/>
              <w:rPr>
                <w:rFonts w:hint="eastAsia" w:ascii="宋体" w:hAnsi="宋体" w:eastAsia="宋体" w:cs="Times New Roman"/>
                <w:bCs w:val="0"/>
                <w:spacing w:val="0"/>
                <w:kern w:val="2"/>
                <w:sz w:val="21"/>
                <w:szCs w:val="21"/>
                <w:lang w:val="en-US" w:eastAsia="zh-CN" w:bidi="ar-SA"/>
              </w:rPr>
            </w:pPr>
            <w:r>
              <w:rPr>
                <w:rFonts w:hint="eastAsia" w:ascii="宋体" w:hAnsi="宋体" w:eastAsia="宋体" w:cs="Times New Roman"/>
                <w:bCs w:val="0"/>
                <w:spacing w:val="0"/>
                <w:kern w:val="2"/>
                <w:sz w:val="21"/>
                <w:szCs w:val="21"/>
                <w:lang w:val="en-US" w:eastAsia="zh-CN" w:bidi="ar-SA"/>
              </w:rPr>
              <w:t>2.公司的部门——</w:t>
            </w:r>
            <w:r>
              <w:rPr>
                <w:rFonts w:hint="eastAsia" w:ascii="宋体" w:hAnsi="宋体" w:cs="Times New Roman"/>
                <w:bCs w:val="0"/>
                <w:spacing w:val="0"/>
                <w:kern w:val="2"/>
                <w:sz w:val="21"/>
                <w:szCs w:val="21"/>
                <w:lang w:val="en-US" w:eastAsia="zh-CN" w:bidi="ar-SA"/>
              </w:rPr>
              <w:t>行政部</w:t>
            </w:r>
            <w:r>
              <w:rPr>
                <w:rFonts w:hint="eastAsia" w:ascii="宋体" w:hAnsi="宋体" w:eastAsia="宋体" w:cs="Times New Roman"/>
                <w:bCs w:val="0"/>
                <w:spacing w:val="0"/>
                <w:kern w:val="2"/>
                <w:sz w:val="21"/>
                <w:szCs w:val="21"/>
                <w:lang w:val="en-US" w:eastAsia="zh-CN" w:bidi="ar-SA"/>
              </w:rPr>
              <w:t>、生产部、采购部、财务部。</w:t>
            </w:r>
          </w:p>
          <w:p>
            <w:pPr>
              <w:pStyle w:val="14"/>
              <w:keepNext w:val="0"/>
              <w:keepLines w:val="0"/>
              <w:pageBreakBefore w:val="0"/>
              <w:widowControl w:val="0"/>
              <w:kinsoku/>
              <w:wordWrap/>
              <w:overflowPunct/>
              <w:topLinePunct w:val="0"/>
              <w:autoSpaceDE/>
              <w:autoSpaceDN/>
              <w:bidi w:val="0"/>
              <w:adjustRightInd/>
              <w:snapToGrid/>
              <w:spacing w:before="120" w:line="240" w:lineRule="auto"/>
              <w:textAlignment w:val="auto"/>
              <w:rPr>
                <w:rFonts w:hint="eastAsia" w:ascii="宋体" w:hAnsi="宋体" w:eastAsia="宋体" w:cs="Times New Roman"/>
                <w:bCs w:val="0"/>
                <w:spacing w:val="0"/>
                <w:kern w:val="2"/>
                <w:sz w:val="21"/>
                <w:szCs w:val="21"/>
                <w:lang w:val="en-US" w:eastAsia="zh-CN" w:bidi="ar-SA"/>
              </w:rPr>
            </w:pPr>
            <w:r>
              <w:rPr>
                <w:rFonts w:hint="eastAsia" w:ascii="宋体" w:hAnsi="宋体" w:cs="Times New Roman"/>
                <w:bCs w:val="0"/>
                <w:spacing w:val="0"/>
                <w:kern w:val="2"/>
                <w:sz w:val="21"/>
                <w:szCs w:val="21"/>
                <w:lang w:val="en-US" w:eastAsia="zh-CN" w:bidi="ar-SA"/>
              </w:rPr>
              <w:t>本次审核能源管理体系范围为：</w:t>
            </w:r>
            <w:bookmarkStart w:id="3" w:name="审核范围"/>
            <w:r>
              <w:rPr>
                <w:sz w:val="20"/>
              </w:rPr>
              <w:t>染织活动所涉及的能源管理活动</w:t>
            </w:r>
            <w:bookmarkEnd w:id="3"/>
            <w:r>
              <w:rPr>
                <w:rFonts w:hint="eastAsia"/>
                <w:sz w:val="20"/>
                <w:lang w:eastAsia="zh-CN"/>
              </w:rPr>
              <w:t>，</w:t>
            </w:r>
            <w:r>
              <w:rPr>
                <w:rFonts w:hint="eastAsia"/>
                <w:sz w:val="20"/>
                <w:lang w:val="en-US" w:eastAsia="zh-CN"/>
              </w:rPr>
              <w:t>部门包括：</w:t>
            </w:r>
            <w:r>
              <w:rPr>
                <w:rFonts w:hint="eastAsia" w:ascii="宋体" w:hAnsi="宋体" w:cs="Times New Roman"/>
                <w:bCs w:val="0"/>
                <w:spacing w:val="0"/>
                <w:kern w:val="2"/>
                <w:sz w:val="21"/>
                <w:szCs w:val="21"/>
                <w:lang w:val="en-US" w:eastAsia="zh-CN" w:bidi="ar-SA"/>
              </w:rPr>
              <w:t>行政部</w:t>
            </w:r>
            <w:r>
              <w:rPr>
                <w:rFonts w:hint="eastAsia" w:ascii="宋体" w:hAnsi="宋体" w:eastAsia="宋体" w:cs="Times New Roman"/>
                <w:bCs w:val="0"/>
                <w:spacing w:val="0"/>
                <w:kern w:val="2"/>
                <w:sz w:val="21"/>
                <w:szCs w:val="21"/>
                <w:lang w:val="en-US" w:eastAsia="zh-CN" w:bidi="ar-SA"/>
              </w:rPr>
              <w:t>、生产部、采购部</w:t>
            </w:r>
            <w:r>
              <w:rPr>
                <w:rFonts w:hint="eastAsia" w:ascii="宋体" w:hAnsi="宋体" w:cs="Times New Roman"/>
                <w:bCs w:val="0"/>
                <w:spacing w:val="0"/>
                <w:kern w:val="2"/>
                <w:sz w:val="21"/>
                <w:szCs w:val="21"/>
                <w:lang w:val="en-US" w:eastAsia="zh-CN" w:bidi="ar-SA"/>
              </w:rPr>
              <w:t>、</w:t>
            </w:r>
            <w:r>
              <w:rPr>
                <w:rFonts w:hint="eastAsia" w:ascii="宋体" w:hAnsi="宋体" w:eastAsia="宋体" w:cs="Times New Roman"/>
                <w:bCs w:val="0"/>
                <w:spacing w:val="0"/>
                <w:kern w:val="2"/>
                <w:sz w:val="21"/>
                <w:szCs w:val="21"/>
                <w:lang w:val="en-US" w:eastAsia="zh-CN" w:bidi="ar-SA"/>
              </w:rPr>
              <w:t>财务部。</w:t>
            </w:r>
          </w:p>
          <w:p>
            <w:pPr>
              <w:pStyle w:val="14"/>
              <w:keepNext w:val="0"/>
              <w:keepLines w:val="0"/>
              <w:pageBreakBefore w:val="0"/>
              <w:widowControl w:val="0"/>
              <w:kinsoku/>
              <w:wordWrap/>
              <w:overflowPunct/>
              <w:topLinePunct w:val="0"/>
              <w:autoSpaceDE/>
              <w:autoSpaceDN/>
              <w:bidi w:val="0"/>
              <w:adjustRightInd/>
              <w:snapToGrid/>
              <w:spacing w:before="120" w:line="240" w:lineRule="auto"/>
              <w:textAlignment w:val="auto"/>
              <w:rPr>
                <w:rFonts w:hint="default" w:ascii="宋体" w:hAnsi="宋体" w:eastAsia="宋体" w:cs="Times New Roman"/>
                <w:bCs w:val="0"/>
                <w:spacing w:val="0"/>
                <w:kern w:val="2"/>
                <w:sz w:val="21"/>
                <w:szCs w:val="21"/>
                <w:lang w:val="en-US" w:eastAsia="zh-CN" w:bidi="ar-SA"/>
              </w:rPr>
            </w:pPr>
            <w:r>
              <w:rPr>
                <w:rFonts w:hint="eastAsia" w:ascii="宋体" w:hAnsi="宋体" w:cs="Times New Roman"/>
                <w:bCs w:val="0"/>
                <w:spacing w:val="0"/>
                <w:kern w:val="2"/>
                <w:sz w:val="21"/>
                <w:szCs w:val="21"/>
                <w:lang w:val="en-US" w:eastAsia="zh-CN" w:bidi="ar-SA"/>
              </w:rPr>
              <w:t>符合要求</w:t>
            </w: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pStyle w:val="14"/>
              <w:rPr>
                <w:rFonts w:hint="eastAsia"/>
                <w:lang w:val="en-US" w:eastAsia="zh-CN"/>
              </w:rPr>
            </w:pPr>
            <w:r>
              <w:rPr>
                <w:rFonts w:hint="eastAsia"/>
              </w:rPr>
              <w:t>领导作用和承诺</w:t>
            </w:r>
          </w:p>
        </w:tc>
        <w:tc>
          <w:tcPr>
            <w:tcW w:w="957" w:type="dxa"/>
            <w:vAlign w:val="top"/>
          </w:tcPr>
          <w:p>
            <w:pPr>
              <w:rPr>
                <w:rFonts w:hint="eastAsia" w:ascii="宋体" w:hAnsi="宋体" w:eastAsia="宋体" w:cs="Times New Roman"/>
                <w:b/>
                <w:bCs/>
                <w:kern w:val="2"/>
                <w:sz w:val="21"/>
                <w:szCs w:val="21"/>
                <w:lang w:val="en-US" w:eastAsia="zh-CN" w:bidi="ar-SA"/>
              </w:rPr>
            </w:pPr>
            <w:r>
              <w:rPr>
                <w:rFonts w:hint="eastAsia" w:ascii="宋体" w:hAnsi="宋体"/>
                <w:szCs w:val="21"/>
              </w:rPr>
              <w:t>5.1</w:t>
            </w:r>
          </w:p>
        </w:tc>
        <w:tc>
          <w:tcPr>
            <w:tcW w:w="10007" w:type="dxa"/>
            <w:vAlign w:val="top"/>
          </w:tcPr>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hint="eastAsia"/>
                <w:lang w:val="en-US" w:eastAsia="zh-CN"/>
              </w:rPr>
            </w:pPr>
            <w:r>
              <w:rPr>
                <w:rFonts w:hint="eastAsia"/>
                <w:lang w:val="en-US" w:eastAsia="zh-CN"/>
              </w:rPr>
              <w:t>企业的最高管理者通过：建立能源管理体系范围和边界;能源政策,目标和能源目标建立和符合组织的战略方向;将能源管理体系需求集成到组织的业务流程中;行动计划得到批准和执行;能源管理体系所需的资源可用;宣传有效的能源管理和符合环境管理体系要求的重要性;能源管理体系达到预期结果;促进能源性能和环境管理体系的持续改进;组建能源管理团队;指导和支持人员对环境管理体系的有效性和能源性能的改善做出贡献;支持其他相关管理角色，以显示其在职责范围内的领导能力;建立能源绩效参数适当地代表能源绩效.建立和实施过程，以识别和处理在能源管理体系范围和范围内影响能源管理体系的变化。</w:t>
            </w:r>
          </w:p>
          <w:p>
            <w:pPr>
              <w:pStyle w:val="2"/>
              <w:keepNext w:val="0"/>
              <w:keepLines w:val="0"/>
              <w:pageBreakBefore w:val="0"/>
              <w:kinsoku/>
              <w:wordWrap/>
              <w:overflowPunct/>
              <w:topLinePunct w:val="0"/>
              <w:autoSpaceDE/>
              <w:autoSpaceDN/>
              <w:bidi w:val="0"/>
              <w:adjustRightInd/>
              <w:snapToGrid/>
              <w:spacing w:before="157" w:beforeLines="50"/>
              <w:textAlignment w:val="auto"/>
              <w:rPr>
                <w:rFonts w:hint="default"/>
                <w:lang w:val="en-US" w:eastAsia="zh-CN"/>
              </w:rPr>
            </w:pPr>
            <w:r>
              <w:rPr>
                <w:rFonts w:hint="eastAsia" w:ascii="宋体" w:hAnsi="宋体" w:eastAsia="宋体" w:cs="Times New Roman"/>
                <w:bCs w:val="0"/>
                <w:spacing w:val="0"/>
                <w:kern w:val="2"/>
                <w:sz w:val="21"/>
                <w:szCs w:val="21"/>
                <w:lang w:val="en-US" w:eastAsia="zh-CN" w:bidi="ar-SA"/>
              </w:rPr>
              <w:t>以上承诺通过组织实施的活动来体现。具体见各部门审核记录。</w:t>
            </w: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trPr>
        <w:tc>
          <w:tcPr>
            <w:tcW w:w="2160" w:type="dxa"/>
            <w:vAlign w:val="top"/>
          </w:tcPr>
          <w:p>
            <w:pPr>
              <w:rPr>
                <w:rFonts w:hint="default" w:ascii="宋体" w:hAnsi="宋体" w:eastAsia="宋体" w:cs="Times New Roman"/>
                <w:b/>
                <w:bCs/>
                <w:kern w:val="2"/>
                <w:sz w:val="21"/>
                <w:szCs w:val="21"/>
                <w:lang w:val="en-US" w:eastAsia="zh-CN" w:bidi="ar-SA"/>
              </w:rPr>
            </w:pPr>
            <w:r>
              <w:rPr>
                <w:rFonts w:hint="eastAsia" w:ascii="宋体" w:hAnsi="宋体"/>
                <w:szCs w:val="21"/>
              </w:rPr>
              <w:t>能源</w:t>
            </w:r>
            <w:r>
              <w:rPr>
                <w:rFonts w:hint="eastAsia" w:ascii="宋体" w:hAnsi="宋体" w:cs="Times New Roman"/>
                <w:szCs w:val="21"/>
                <w:lang w:val="en-US" w:eastAsia="zh-CN"/>
              </w:rPr>
              <w:t>管理方针和目标及目标完成情况</w:t>
            </w:r>
          </w:p>
        </w:tc>
        <w:tc>
          <w:tcPr>
            <w:tcW w:w="957" w:type="dxa"/>
            <w:vAlign w:val="top"/>
          </w:tcPr>
          <w:p>
            <w:pPr>
              <w:rPr>
                <w:rFonts w:hint="eastAsia" w:ascii="宋体" w:hAnsi="宋体" w:eastAsia="宋体" w:cs="Times New Roman"/>
                <w:b/>
                <w:bCs/>
                <w:kern w:val="2"/>
                <w:sz w:val="21"/>
                <w:szCs w:val="21"/>
                <w:lang w:val="en-US" w:eastAsia="zh-CN" w:bidi="ar-SA"/>
              </w:rPr>
            </w:pPr>
            <w:r>
              <w:rPr>
                <w:rFonts w:hint="eastAsia" w:ascii="宋体" w:hAnsi="宋体"/>
                <w:szCs w:val="21"/>
              </w:rPr>
              <w:t>5.2</w:t>
            </w:r>
            <w:r>
              <w:rPr>
                <w:rFonts w:hint="eastAsia" w:ascii="宋体" w:hAnsi="宋体"/>
                <w:szCs w:val="21"/>
                <w:lang w:val="en-US" w:eastAsia="zh-CN"/>
              </w:rPr>
              <w:t>/6.2</w:t>
            </w:r>
            <w:r>
              <w:rPr>
                <w:rFonts w:hint="eastAsia" w:ascii="宋体" w:hAnsi="宋体"/>
                <w:szCs w:val="21"/>
              </w:rPr>
              <w:t xml:space="preserve"> </w:t>
            </w:r>
          </w:p>
        </w:tc>
        <w:tc>
          <w:tcPr>
            <w:tcW w:w="10007" w:type="dxa"/>
            <w:vAlign w:val="top"/>
          </w:tcPr>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hint="eastAsia"/>
                <w:lang w:val="en-US" w:eastAsia="zh-CN"/>
              </w:rPr>
            </w:pPr>
            <w:r>
              <w:rPr>
                <w:rFonts w:hint="eastAsia"/>
                <w:lang w:val="en-US" w:eastAsia="zh-CN"/>
              </w:rPr>
              <w:t>该企业的能源方针已于2021.5.1发布实施。</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hint="eastAsia"/>
                <w:lang w:val="en-US" w:eastAsia="zh-CN"/>
              </w:rPr>
            </w:pPr>
            <w:r>
              <w:rPr>
                <w:rFonts w:hint="eastAsia"/>
                <w:lang w:val="en-US" w:eastAsia="zh-CN"/>
              </w:rPr>
              <w:t>能源方针：遵守法规 清洁生产；节能降耗 创新改造；能耗限额 持续改进</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hint="eastAsia"/>
                <w:lang w:val="en-US" w:eastAsia="zh-CN"/>
              </w:rPr>
            </w:pPr>
            <w:r>
              <w:rPr>
                <w:rFonts w:hint="eastAsia"/>
                <w:lang w:val="en-US" w:eastAsia="zh-CN"/>
              </w:rPr>
              <w:t>其含义：遵守能源方面的法律、法规及其他要求，积极推行清洁生产，从源头削减能源用量，促进循环经济发展。采用节能新技术、新工艺，不断创新改造，持续改进能源绩效，以降低能源消耗，提高能源利用效率。合理用能，建立并持续改进能源管理体系，坚持以人为本，履行社会责任，实现可持续发展。支持高效产品和服务的采购，支持积极改进能源绩效的设计。为积极制定能源目标、指标提供方向和框架。</w:t>
            </w:r>
          </w:p>
          <w:p>
            <w:pPr>
              <w:pStyle w:val="14"/>
              <w:keepNext w:val="0"/>
              <w:keepLines w:val="0"/>
              <w:pageBreakBefore w:val="0"/>
              <w:widowControl w:val="0"/>
              <w:kinsoku/>
              <w:wordWrap/>
              <w:overflowPunct/>
              <w:topLinePunct w:val="0"/>
              <w:autoSpaceDE/>
              <w:autoSpaceDN/>
              <w:bidi w:val="0"/>
              <w:adjustRightInd/>
              <w:snapToGrid/>
              <w:spacing w:before="157" w:beforeLines="50" w:line="240" w:lineRule="auto"/>
              <w:textAlignment w:val="auto"/>
              <w:rPr>
                <w:rFonts w:hint="eastAsia"/>
                <w:highlight w:val="yellow"/>
                <w:lang w:val="en-US" w:eastAsia="zh-CN"/>
              </w:rPr>
            </w:pPr>
            <w:r>
              <w:rPr>
                <w:rFonts w:hint="eastAsia"/>
                <w:highlight w:val="none"/>
                <w:lang w:val="en-US" w:eastAsia="zh-CN"/>
              </w:rPr>
              <w:t>能源目标指标完成情况见行政部审核记录。</w:t>
            </w:r>
          </w:p>
          <w:p>
            <w:pPr>
              <w:pStyle w:val="14"/>
              <w:keepNext w:val="0"/>
              <w:keepLines w:val="0"/>
              <w:pageBreakBefore w:val="0"/>
              <w:widowControl w:val="0"/>
              <w:kinsoku/>
              <w:wordWrap/>
              <w:overflowPunct/>
              <w:topLinePunct w:val="0"/>
              <w:autoSpaceDE/>
              <w:autoSpaceDN/>
              <w:bidi w:val="0"/>
              <w:adjustRightInd/>
              <w:snapToGrid/>
              <w:spacing w:before="157" w:beforeLines="50" w:line="240" w:lineRule="auto"/>
              <w:textAlignment w:val="auto"/>
              <w:rPr>
                <w:rFonts w:hint="default"/>
                <w:lang w:val="en-US" w:eastAsia="zh-CN"/>
              </w:rPr>
            </w:pPr>
            <w:r>
              <w:rPr>
                <w:rFonts w:hint="eastAsia"/>
                <w:lang w:val="en-US" w:eastAsia="zh-CN"/>
              </w:rPr>
              <w:t>符合要求</w:t>
            </w: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rPr>
                <w:rFonts w:hint="eastAsia" w:ascii="宋体" w:hAnsi="宋体" w:eastAsia="宋体" w:cs="Times New Roman"/>
                <w:b/>
                <w:bCs/>
                <w:kern w:val="2"/>
                <w:sz w:val="21"/>
                <w:szCs w:val="21"/>
                <w:lang w:val="en-US" w:eastAsia="zh-CN" w:bidi="ar-SA"/>
              </w:rPr>
            </w:pPr>
            <w:r>
              <w:rPr>
                <w:rFonts w:hint="eastAsia" w:ascii="宋体" w:hAnsi="宋体"/>
                <w:szCs w:val="21"/>
              </w:rPr>
              <w:t xml:space="preserve"> 组织的岗位、职责和权限</w:t>
            </w:r>
          </w:p>
        </w:tc>
        <w:tc>
          <w:tcPr>
            <w:tcW w:w="957" w:type="dxa"/>
            <w:vAlign w:val="top"/>
          </w:tcPr>
          <w:p>
            <w:pPr>
              <w:rPr>
                <w:rFonts w:hint="eastAsia" w:ascii="宋体" w:hAnsi="宋体" w:eastAsia="宋体" w:cs="Times New Roman"/>
                <w:b/>
                <w:bCs/>
                <w:kern w:val="2"/>
                <w:sz w:val="21"/>
                <w:szCs w:val="21"/>
                <w:lang w:val="en-US" w:eastAsia="zh-CN" w:bidi="ar-SA"/>
              </w:rPr>
            </w:pPr>
            <w:r>
              <w:rPr>
                <w:rFonts w:hint="eastAsia" w:ascii="宋体" w:hAnsi="宋体"/>
                <w:szCs w:val="21"/>
              </w:rPr>
              <w:t>5.3</w:t>
            </w:r>
          </w:p>
        </w:tc>
        <w:tc>
          <w:tcPr>
            <w:tcW w:w="10007" w:type="dxa"/>
            <w:vAlign w:val="top"/>
          </w:tcPr>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hint="eastAsia"/>
                <w:color w:val="000000" w:themeColor="text1"/>
                <w:sz w:val="20"/>
                <w:lang w:val="en-US" w:eastAsia="zh-CN"/>
                <w14:textFill>
                  <w14:solidFill>
                    <w14:schemeClr w14:val="tx1"/>
                  </w14:solidFill>
                </w14:textFill>
              </w:rPr>
            </w:pPr>
            <w:r>
              <w:rPr>
                <w:rFonts w:hint="eastAsia"/>
                <w:color w:val="000000" w:themeColor="text1"/>
                <w:sz w:val="20"/>
                <w:lang w:val="en-US" w:eastAsia="zh-CN"/>
                <w14:textFill>
                  <w14:solidFill>
                    <w14:schemeClr w14:val="tx1"/>
                  </w14:solidFill>
                </w14:textFill>
              </w:rPr>
              <w:t>公司构建了完善了能源管理体系及运行体系，机构下设</w:t>
            </w:r>
            <w:r>
              <w:rPr>
                <w:rFonts w:hint="eastAsia" w:ascii="Times New Roman" w:hAnsi="Times New Roman" w:cs="Times New Roman"/>
                <w:color w:val="000000" w:themeColor="text1"/>
                <w:sz w:val="20"/>
                <w:szCs w:val="22"/>
                <w:lang w:val="en-US" w:eastAsia="zh-CN"/>
                <w14:textFill>
                  <w14:solidFill>
                    <w14:schemeClr w14:val="tx1"/>
                  </w14:solidFill>
                </w14:textFill>
              </w:rPr>
              <w:t>生产部、财务部、采购部、行政部</w:t>
            </w:r>
            <w:r>
              <w:rPr>
                <w:rFonts w:hint="eastAsia"/>
                <w:color w:val="000000" w:themeColor="text1"/>
                <w:sz w:val="20"/>
                <w:lang w:val="en-US" w:eastAsia="zh-CN"/>
                <w14:textFill>
                  <w14:solidFill>
                    <w14:schemeClr w14:val="tx1"/>
                  </w14:solidFill>
                </w14:textFill>
              </w:rPr>
              <w:t>等部门。</w:t>
            </w:r>
          </w:p>
          <w:p>
            <w:pPr>
              <w:pStyle w:val="14"/>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hint="eastAsia"/>
                <w:color w:val="000000" w:themeColor="text1"/>
                <w:sz w:val="20"/>
                <w:lang w:val="en-US" w:eastAsia="zh-CN"/>
                <w14:textFill>
                  <w14:solidFill>
                    <w14:schemeClr w14:val="tx1"/>
                  </w14:solidFill>
                </w14:textFill>
              </w:rPr>
            </w:pPr>
            <w:r>
              <w:rPr>
                <w:rFonts w:hint="eastAsia"/>
                <w:color w:val="000000" w:themeColor="text1"/>
                <w:sz w:val="20"/>
                <w:lang w:val="en-US" w:eastAsia="zh-CN"/>
                <w14:textFill>
                  <w14:solidFill>
                    <w14:schemeClr w14:val="tx1"/>
                  </w14:solidFill>
                </w14:textFill>
              </w:rPr>
              <w:t>从管理层到各部门、各岗位能源职责权限均在《管理手册》中予以规定。</w:t>
            </w:r>
          </w:p>
          <w:p>
            <w:pPr>
              <w:pStyle w:val="14"/>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hint="default"/>
                <w:color w:val="000000" w:themeColor="text1"/>
                <w:sz w:val="20"/>
                <w:lang w:val="en-US" w:eastAsia="zh-CN"/>
                <w14:textFill>
                  <w14:solidFill>
                    <w14:schemeClr w14:val="tx1"/>
                  </w14:solidFill>
                </w14:textFill>
              </w:rPr>
            </w:pPr>
            <w:r>
              <w:rPr>
                <w:rFonts w:hint="eastAsia"/>
                <w:color w:val="000000" w:themeColor="text1"/>
                <w:sz w:val="20"/>
                <w:lang w:val="en-US" w:eastAsia="zh-CN"/>
                <w14:textFill>
                  <w14:solidFill>
                    <w14:schemeClr w14:val="tx1"/>
                  </w14:solidFill>
                </w14:textFill>
              </w:rPr>
              <w:t>基本满足要求。</w:t>
            </w: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rPr>
                <w:rFonts w:hint="eastAsia"/>
              </w:rPr>
            </w:pPr>
            <w:r>
              <w:rPr>
                <w:rFonts w:hint="eastAsia" w:ascii="宋体" w:hAnsi="宋体" w:cs="Times New Roman"/>
                <w:szCs w:val="21"/>
                <w:lang w:val="en-US" w:eastAsia="zh-CN"/>
              </w:rPr>
              <w:t>风险机制的建立和控制情况</w:t>
            </w:r>
          </w:p>
          <w:p>
            <w:pPr>
              <w:pStyle w:val="14"/>
              <w:rPr>
                <w:rFonts w:hint="eastAsia"/>
                <w:lang w:val="en-US" w:eastAsia="zh-CN"/>
              </w:rPr>
            </w:pPr>
          </w:p>
        </w:tc>
        <w:tc>
          <w:tcPr>
            <w:tcW w:w="957" w:type="dxa"/>
            <w:vAlign w:val="top"/>
          </w:tcPr>
          <w:p>
            <w:pPr>
              <w:rPr>
                <w:rFonts w:hint="eastAsia" w:ascii="宋体" w:hAnsi="宋体" w:eastAsia="宋体" w:cs="Times New Roman"/>
                <w:b/>
                <w:bCs/>
                <w:kern w:val="2"/>
                <w:sz w:val="21"/>
                <w:szCs w:val="21"/>
                <w:lang w:val="en-US" w:eastAsia="zh-CN" w:bidi="ar-SA"/>
              </w:rPr>
            </w:pPr>
            <w:r>
              <w:rPr>
                <w:rFonts w:hint="eastAsia" w:ascii="宋体" w:hAnsi="宋体"/>
                <w:szCs w:val="21"/>
              </w:rPr>
              <w:t>6.1</w:t>
            </w:r>
          </w:p>
        </w:tc>
        <w:tc>
          <w:tcPr>
            <w:tcW w:w="10007" w:type="dxa"/>
            <w:vAlign w:val="top"/>
          </w:tcPr>
          <w:p>
            <w:pPr>
              <w:pStyle w:val="6"/>
              <w:keepNext w:val="0"/>
              <w:keepLines w:val="0"/>
              <w:pageBreakBefore w:val="0"/>
              <w:widowControl w:val="0"/>
              <w:kinsoku/>
              <w:wordWrap/>
              <w:overflowPunct/>
              <w:topLinePunct w:val="0"/>
              <w:autoSpaceDE/>
              <w:autoSpaceDN/>
              <w:bidi w:val="0"/>
              <w:adjustRightInd/>
              <w:snapToGrid/>
              <w:spacing w:before="120" w:after="0" w:line="240" w:lineRule="auto"/>
              <w:textAlignment w:val="auto"/>
              <w:rPr>
                <w:rFonts w:hint="eastAsia" w:ascii="Times New Roman" w:hAnsi="Times New Roman" w:eastAsia="宋体" w:cs="Times New Roman"/>
                <w:color w:val="000000" w:themeColor="text1"/>
                <w:kern w:val="2"/>
                <w:sz w:val="20"/>
                <w:szCs w:val="22"/>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0"/>
                <w:szCs w:val="22"/>
                <w:lang w:val="en-US" w:eastAsia="zh-CN" w:bidi="ar-SA"/>
                <w14:textFill>
                  <w14:solidFill>
                    <w14:schemeClr w14:val="tx1"/>
                  </w14:solidFill>
                </w14:textFill>
              </w:rPr>
              <w:t>公司编制了《风险和机遇分析评价及应对措施控制程序》通过识别评审风险与机遇，制定相关措施。</w:t>
            </w:r>
          </w:p>
          <w:p>
            <w:pPr>
              <w:pStyle w:val="6"/>
              <w:keepNext w:val="0"/>
              <w:keepLines w:val="0"/>
              <w:pageBreakBefore w:val="0"/>
              <w:widowControl w:val="0"/>
              <w:kinsoku/>
              <w:wordWrap/>
              <w:overflowPunct/>
              <w:topLinePunct w:val="0"/>
              <w:autoSpaceDE/>
              <w:autoSpaceDN/>
              <w:bidi w:val="0"/>
              <w:adjustRightInd/>
              <w:snapToGrid/>
              <w:spacing w:before="120" w:after="0" w:line="240" w:lineRule="auto"/>
              <w:textAlignment w:val="auto"/>
              <w:rPr>
                <w:rFonts w:hint="eastAsia" w:ascii="Times New Roman" w:hAnsi="Times New Roman" w:eastAsia="宋体" w:cs="Times New Roman"/>
                <w:color w:val="000000" w:themeColor="text1"/>
                <w:kern w:val="2"/>
                <w:sz w:val="20"/>
                <w:szCs w:val="22"/>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0"/>
                <w:szCs w:val="22"/>
                <w:lang w:val="en-US" w:eastAsia="zh-CN" w:bidi="ar-SA"/>
                <w14:textFill>
                  <w14:solidFill>
                    <w14:schemeClr w14:val="tx1"/>
                  </w14:solidFill>
                </w14:textFill>
              </w:rPr>
              <w:t>提供“能源风险和机遇管控清单”2021年</w:t>
            </w:r>
          </w:p>
          <w:p>
            <w:pPr>
              <w:pStyle w:val="6"/>
              <w:keepNext w:val="0"/>
              <w:keepLines w:val="0"/>
              <w:pageBreakBefore w:val="0"/>
              <w:widowControl w:val="0"/>
              <w:kinsoku/>
              <w:wordWrap/>
              <w:overflowPunct/>
              <w:topLinePunct w:val="0"/>
              <w:autoSpaceDE/>
              <w:autoSpaceDN/>
              <w:bidi w:val="0"/>
              <w:adjustRightInd/>
              <w:snapToGrid/>
              <w:spacing w:before="120" w:after="0" w:line="240" w:lineRule="auto"/>
              <w:textAlignment w:val="auto"/>
              <w:rPr>
                <w:rFonts w:hint="eastAsia" w:ascii="Times New Roman" w:hAnsi="Times New Roman" w:eastAsia="宋体" w:cs="Times New Roman"/>
                <w:color w:val="000000" w:themeColor="text1"/>
                <w:kern w:val="2"/>
                <w:sz w:val="20"/>
                <w:szCs w:val="22"/>
                <w:lang w:val="en-US" w:eastAsia="zh-CN" w:bidi="ar-SA"/>
                <w14:textFill>
                  <w14:solidFill>
                    <w14:schemeClr w14:val="tx1"/>
                  </w14:solidFill>
                </w14:textFill>
              </w:rPr>
            </w:pPr>
            <w:r>
              <w:drawing>
                <wp:inline distT="0" distB="0" distL="114300" distR="114300">
                  <wp:extent cx="6210300" cy="1419860"/>
                  <wp:effectExtent l="0" t="0" r="0" b="254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6"/>
                          <a:stretch>
                            <a:fillRect/>
                          </a:stretch>
                        </pic:blipFill>
                        <pic:spPr>
                          <a:xfrm>
                            <a:off x="0" y="0"/>
                            <a:ext cx="6210300" cy="1419860"/>
                          </a:xfrm>
                          <a:prstGeom prst="rect">
                            <a:avLst/>
                          </a:prstGeom>
                          <a:noFill/>
                          <a:ln>
                            <a:noFill/>
                          </a:ln>
                        </pic:spPr>
                      </pic:pic>
                    </a:graphicData>
                  </a:graphic>
                </wp:inline>
              </w:drawing>
            </w:r>
          </w:p>
          <w:p>
            <w:pPr>
              <w:pStyle w:val="6"/>
              <w:keepNext w:val="0"/>
              <w:keepLines w:val="0"/>
              <w:pageBreakBefore w:val="0"/>
              <w:widowControl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宋体" w:cs="Times New Roman"/>
                <w:color w:val="000000" w:themeColor="text1"/>
                <w:kern w:val="2"/>
                <w:sz w:val="20"/>
                <w:szCs w:val="22"/>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0"/>
                <w:szCs w:val="22"/>
                <w:lang w:val="en-US" w:eastAsia="zh-CN" w:bidi="ar-SA"/>
                <w14:textFill>
                  <w14:solidFill>
                    <w14:schemeClr w14:val="tx1"/>
                  </w14:solidFill>
                </w14:textFill>
              </w:rPr>
              <w:t>包括外部因素和内部因素：法律法规、相关方要求、技术、竞争、市场、社会、公司运营、财务状况、人力资源和资源几个方面进行分析评价，</w:t>
            </w:r>
            <w:r>
              <w:rPr>
                <w:rFonts w:hint="eastAsia" w:ascii="Times New Roman" w:hAnsi="Times New Roman" w:eastAsia="宋体" w:cs="Times New Roman"/>
                <w:color w:val="0000FF"/>
                <w:kern w:val="2"/>
                <w:sz w:val="20"/>
                <w:szCs w:val="22"/>
                <w:lang w:val="en-US" w:eastAsia="zh-CN" w:bidi="ar-SA"/>
              </w:rPr>
              <w:t>对识别的风险</w:t>
            </w:r>
            <w:r>
              <w:rPr>
                <w:rFonts w:hint="eastAsia" w:ascii="Times New Roman" w:hAnsi="Times New Roman" w:eastAsia="宋体" w:cs="Times New Roman"/>
                <w:color w:val="0000FF"/>
                <w:kern w:val="2"/>
                <w:sz w:val="20"/>
                <w:szCs w:val="22"/>
                <w:highlight w:val="none"/>
                <w:lang w:val="en-US" w:eastAsia="zh-CN" w:bidi="ar-SA"/>
              </w:rPr>
              <w:t>制定了管控措施，但未落实完成责任人</w:t>
            </w:r>
            <w:r>
              <w:rPr>
                <w:rFonts w:hint="eastAsia" w:ascii="Times New Roman" w:hAnsi="Times New Roman" w:eastAsia="宋体" w:cs="Times New Roman"/>
                <w:color w:val="000000" w:themeColor="text1"/>
                <w:kern w:val="2"/>
                <w:sz w:val="20"/>
                <w:szCs w:val="22"/>
                <w:highlight w:val="none"/>
                <w:lang w:val="en-US" w:eastAsia="zh-CN" w:bidi="ar-SA"/>
                <w14:textFill>
                  <w14:solidFill>
                    <w14:schemeClr w14:val="tx1"/>
                  </w14:solidFill>
                </w14:textFill>
              </w:rPr>
              <w:t>。</w:t>
            </w:r>
            <w:r>
              <w:rPr>
                <w:rFonts w:hint="eastAsia" w:ascii="Times New Roman" w:hAnsi="Times New Roman" w:eastAsia="宋体" w:cs="Times New Roman"/>
                <w:color w:val="0000FF"/>
                <w:kern w:val="2"/>
                <w:sz w:val="20"/>
                <w:szCs w:val="22"/>
                <w:highlight w:val="none"/>
                <w:lang w:val="en-US" w:eastAsia="zh-CN" w:bidi="ar-SA"/>
              </w:rPr>
              <w:t>——问题项</w:t>
            </w: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2160" w:type="dxa"/>
            <w:vAlign w:val="top"/>
          </w:tcPr>
          <w:p>
            <w:pPr>
              <w:rPr>
                <w:rFonts w:hint="eastAsia"/>
              </w:rPr>
            </w:pPr>
            <w:r>
              <w:rPr>
                <w:rFonts w:hint="eastAsia"/>
              </w:rPr>
              <w:t>资源</w:t>
            </w:r>
          </w:p>
          <w:p>
            <w:pPr>
              <w:pStyle w:val="14"/>
              <w:rPr>
                <w:rFonts w:hint="eastAsia"/>
              </w:rPr>
            </w:pPr>
          </w:p>
          <w:p>
            <w:pPr>
              <w:pStyle w:val="14"/>
              <w:rPr>
                <w:rFonts w:hint="eastAsia"/>
                <w:lang w:val="en-US" w:eastAsia="zh-CN"/>
              </w:rPr>
            </w:pPr>
          </w:p>
        </w:tc>
        <w:tc>
          <w:tcPr>
            <w:tcW w:w="957" w:type="dxa"/>
            <w:vAlign w:val="top"/>
          </w:tcPr>
          <w:p>
            <w:pPr>
              <w:rPr>
                <w:rFonts w:hint="eastAsia" w:ascii="宋体" w:hAnsi="宋体" w:eastAsia="宋体" w:cs="Times New Roman"/>
                <w:b/>
                <w:bCs/>
                <w:kern w:val="2"/>
                <w:sz w:val="21"/>
                <w:szCs w:val="21"/>
                <w:lang w:val="en-US" w:eastAsia="zh-CN" w:bidi="ar-SA"/>
              </w:rPr>
            </w:pPr>
            <w:r>
              <w:rPr>
                <w:rFonts w:hint="eastAsia" w:ascii="宋体" w:hAnsi="宋体"/>
                <w:szCs w:val="21"/>
              </w:rPr>
              <w:t xml:space="preserve">7.1 </w:t>
            </w:r>
          </w:p>
        </w:tc>
        <w:tc>
          <w:tcPr>
            <w:tcW w:w="10007" w:type="dxa"/>
            <w:vAlign w:val="top"/>
          </w:tcPr>
          <w:p>
            <w:pPr>
              <w:keepNext w:val="0"/>
              <w:keepLines w:val="0"/>
              <w:pageBreakBefore w:val="0"/>
              <w:widowControl w:val="0"/>
              <w:kinsoku/>
              <w:wordWrap/>
              <w:overflowPunct/>
              <w:topLinePunct w:val="0"/>
              <w:autoSpaceDE/>
              <w:autoSpaceDN/>
              <w:bidi w:val="0"/>
              <w:adjustRightInd/>
              <w:snapToGrid/>
              <w:spacing w:before="120" w:line="240" w:lineRule="auto"/>
              <w:jc w:val="left"/>
              <w:textAlignment w:val="auto"/>
              <w:rPr>
                <w:rFonts w:hint="default" w:eastAsia="宋体"/>
                <w:szCs w:val="22"/>
                <w:lang w:val="en-US" w:eastAsia="zh-CN"/>
              </w:rPr>
            </w:pPr>
            <w:r>
              <w:rPr>
                <w:rFonts w:hint="eastAsia"/>
                <w:color w:val="000000" w:themeColor="text1"/>
                <w:sz w:val="20"/>
                <w:lang w:val="en-US" w:eastAsia="zh-CN"/>
                <w14:textFill>
                  <w14:solidFill>
                    <w14:schemeClr w14:val="tx1"/>
                  </w14:solidFill>
                </w14:textFill>
              </w:rPr>
              <w:t>该企业</w:t>
            </w:r>
            <w:r>
              <w:rPr>
                <w:rFonts w:hint="eastAsia" w:eastAsia="宋体"/>
                <w:szCs w:val="22"/>
                <w:lang w:val="en-US" w:eastAsia="zh-CN"/>
              </w:rPr>
              <w:t>占地约七十亩，注册资金7000万元人民币，实际总投资超过2亿元。拥有</w:t>
            </w:r>
            <w:r>
              <w:rPr>
                <w:rFonts w:hint="eastAsia" w:ascii="宋体" w:hAnsi="宋体" w:eastAsia="宋体" w:cs="宋体"/>
                <w:color w:val="auto"/>
                <w:kern w:val="0"/>
                <w:szCs w:val="21"/>
                <w:lang w:eastAsia="zh-CN"/>
              </w:rPr>
              <w:t>联丰盛大厦、</w:t>
            </w:r>
            <w:r>
              <w:rPr>
                <w:rFonts w:hint="eastAsia" w:ascii="宋体" w:hAnsi="宋体" w:eastAsia="宋体" w:cs="宋体"/>
                <w:color w:val="auto"/>
                <w:kern w:val="0"/>
                <w:szCs w:val="21"/>
                <w:lang w:val="en-US" w:eastAsia="zh-CN"/>
              </w:rPr>
              <w:t>办公室、中央空调、办公用品、劳保用品、仓库、化验室等</w:t>
            </w:r>
          </w:p>
          <w:p>
            <w:pPr>
              <w:keepNext w:val="0"/>
              <w:keepLines w:val="0"/>
              <w:pageBreakBefore w:val="0"/>
              <w:widowControl w:val="0"/>
              <w:kinsoku/>
              <w:wordWrap/>
              <w:overflowPunct/>
              <w:topLinePunct w:val="0"/>
              <w:autoSpaceDE/>
              <w:autoSpaceDN/>
              <w:bidi w:val="0"/>
              <w:adjustRightInd/>
              <w:snapToGrid/>
              <w:spacing w:before="120" w:line="240" w:lineRule="auto"/>
              <w:jc w:val="left"/>
              <w:textAlignment w:val="auto"/>
              <w:rPr>
                <w:rFonts w:hint="default" w:ascii="Times New Roman" w:hAnsi="Times New Roman" w:eastAsia="宋体" w:cs="Times New Roman"/>
                <w:color w:val="000000" w:themeColor="text1"/>
                <w:sz w:val="20"/>
                <w:szCs w:val="22"/>
                <w:lang w:val="en-US" w:eastAsia="zh-CN"/>
                <w14:textFill>
                  <w14:solidFill>
                    <w14:schemeClr w14:val="tx1"/>
                  </w14:solidFill>
                </w14:textFill>
              </w:rPr>
            </w:pPr>
            <w:r>
              <w:rPr>
                <w:rFonts w:hint="eastAsia" w:ascii="Times New Roman" w:hAnsi="Times New Roman" w:eastAsia="宋体" w:cs="Times New Roman"/>
                <w:color w:val="000000" w:themeColor="text1"/>
                <w:sz w:val="20"/>
                <w:szCs w:val="22"/>
                <w:lang w:val="en-US" w:eastAsia="zh-CN"/>
                <w14:textFill>
                  <w14:solidFill>
                    <w14:schemeClr w14:val="tx1"/>
                  </w14:solidFill>
                </w14:textFill>
              </w:rPr>
              <w:t>提供《设备管理台帐》，</w:t>
            </w:r>
            <w:r>
              <w:rPr>
                <w:rFonts w:hint="eastAsia" w:eastAsia="宋体"/>
                <w:szCs w:val="22"/>
                <w:lang w:val="en-US" w:eastAsia="zh-CN"/>
              </w:rPr>
              <w:t>拥有6条长车轧染流水线，</w:t>
            </w:r>
            <w:r>
              <w:rPr>
                <w:rFonts w:hint="default" w:eastAsia="宋体"/>
                <w:szCs w:val="22"/>
                <w:lang w:val="en-US" w:eastAsia="zh-CN"/>
              </w:rPr>
              <w:t>21</w:t>
            </w:r>
            <w:r>
              <w:rPr>
                <w:rFonts w:hint="eastAsia" w:eastAsia="宋体"/>
                <w:szCs w:val="22"/>
                <w:lang w:val="en-US" w:eastAsia="zh-CN"/>
              </w:rPr>
              <w:t>台常温卷染机，及其它相关进口设备等。一流的厂房机台设备，雄厚的技术力量，科学、严密、人性化的监测管理</w:t>
            </w:r>
            <w:r>
              <w:rPr>
                <w:rFonts w:hint="eastAsia" w:ascii="Times New Roman" w:hAnsi="Times New Roman" w:eastAsia="宋体" w:cs="Times New Roman"/>
                <w:color w:val="000000" w:themeColor="text1"/>
                <w:sz w:val="20"/>
                <w:szCs w:val="22"/>
                <w:lang w:val="en-US" w:eastAsia="zh-CN"/>
                <w14:textFill>
                  <w14:solidFill>
                    <w14:schemeClr w14:val="tx1"/>
                  </w14:solidFill>
                </w14:textFill>
              </w:rPr>
              <w:t>：主要有：</w:t>
            </w:r>
            <w:r>
              <w:rPr>
                <w:rFonts w:hint="eastAsia" w:cs="Times New Roman"/>
                <w:color w:val="000000" w:themeColor="text1"/>
                <w:sz w:val="20"/>
                <w:szCs w:val="22"/>
                <w:lang w:val="en-US" w:eastAsia="zh-CN"/>
                <w14:textFill>
                  <w14:solidFill>
                    <w14:schemeClr w14:val="tx1"/>
                  </w14:solidFill>
                </w14:textFill>
              </w:rPr>
              <w:t>磨毛机</w:t>
            </w:r>
            <w:r>
              <w:rPr>
                <w:rFonts w:hint="eastAsia" w:ascii="Times New Roman" w:hAnsi="Times New Roman" w:eastAsia="宋体" w:cs="Times New Roman"/>
                <w:color w:val="000000" w:themeColor="text1"/>
                <w:sz w:val="20"/>
                <w:szCs w:val="22"/>
                <w:lang w:val="en-US" w:eastAsia="zh-CN"/>
                <w14:textFill>
                  <w14:solidFill>
                    <w14:schemeClr w14:val="tx1"/>
                  </w14:solidFill>
                </w14:textFill>
              </w:rPr>
              <w:t>、</w:t>
            </w:r>
            <w:r>
              <w:rPr>
                <w:rFonts w:hint="eastAsia" w:cs="Times New Roman"/>
                <w:color w:val="000000" w:themeColor="text1"/>
                <w:sz w:val="20"/>
                <w:szCs w:val="22"/>
                <w:lang w:val="en-US" w:eastAsia="zh-CN"/>
                <w14:textFill>
                  <w14:solidFill>
                    <w14:schemeClr w14:val="tx1"/>
                  </w14:solidFill>
                </w14:textFill>
              </w:rPr>
              <w:t>烧毛机</w:t>
            </w:r>
            <w:r>
              <w:rPr>
                <w:rFonts w:hint="eastAsia" w:ascii="Times New Roman" w:hAnsi="Times New Roman" w:cs="Times New Roman"/>
                <w:color w:val="000000" w:themeColor="text1"/>
                <w:sz w:val="20"/>
                <w:szCs w:val="22"/>
                <w:lang w:val="en-US" w:eastAsia="zh-CN"/>
                <w14:textFill>
                  <w14:solidFill>
                    <w14:schemeClr w14:val="tx1"/>
                  </w14:solidFill>
                </w14:textFill>
              </w:rPr>
              <w:t>、</w:t>
            </w:r>
            <w:r>
              <w:rPr>
                <w:rFonts w:hint="eastAsia"/>
                <w:color w:val="auto"/>
                <w:kern w:val="0"/>
                <w:lang w:eastAsia="zh-CN"/>
              </w:rPr>
              <w:t>煮漂机</w:t>
            </w:r>
            <w:r>
              <w:rPr>
                <w:rFonts w:hint="eastAsia" w:ascii="Times New Roman" w:hAnsi="Times New Roman" w:cs="Times New Roman"/>
                <w:color w:val="000000" w:themeColor="text1"/>
                <w:sz w:val="20"/>
                <w:szCs w:val="22"/>
                <w:lang w:val="en-US" w:eastAsia="zh-CN"/>
                <w14:textFill>
                  <w14:solidFill>
                    <w14:schemeClr w14:val="tx1"/>
                  </w14:solidFill>
                </w14:textFill>
              </w:rPr>
              <w:t>、</w:t>
            </w:r>
            <w:r>
              <w:rPr>
                <w:rFonts w:hint="eastAsia" w:cs="Times New Roman"/>
                <w:color w:val="000000" w:themeColor="text1"/>
                <w:sz w:val="20"/>
                <w:szCs w:val="22"/>
                <w:lang w:val="en-US" w:eastAsia="zh-CN"/>
                <w14:textFill>
                  <w14:solidFill>
                    <w14:schemeClr w14:val="tx1"/>
                  </w14:solidFill>
                </w14:textFill>
              </w:rPr>
              <w:t>丝光机</w:t>
            </w:r>
            <w:r>
              <w:rPr>
                <w:rFonts w:hint="eastAsia" w:ascii="Times New Roman" w:hAnsi="Times New Roman" w:cs="Times New Roman"/>
                <w:color w:val="000000" w:themeColor="text1"/>
                <w:sz w:val="20"/>
                <w:szCs w:val="22"/>
                <w:lang w:val="en-US" w:eastAsia="zh-CN"/>
                <w14:textFill>
                  <w14:solidFill>
                    <w14:schemeClr w14:val="tx1"/>
                  </w14:solidFill>
                </w14:textFill>
              </w:rPr>
              <w:t>、</w:t>
            </w:r>
            <w:r>
              <w:rPr>
                <w:rFonts w:hint="eastAsia" w:cs="Times New Roman"/>
                <w:color w:val="000000" w:themeColor="text1"/>
                <w:sz w:val="20"/>
                <w:szCs w:val="22"/>
                <w:lang w:val="en-US" w:eastAsia="zh-CN"/>
                <w14:textFill>
                  <w14:solidFill>
                    <w14:schemeClr w14:val="tx1"/>
                  </w14:solidFill>
                </w14:textFill>
              </w:rPr>
              <w:t>染色机、</w:t>
            </w:r>
            <w:r>
              <w:rPr>
                <w:rFonts w:hint="eastAsia"/>
                <w:color w:val="auto"/>
                <w:kern w:val="0"/>
                <w:lang w:eastAsia="zh-CN"/>
              </w:rPr>
              <w:t>卷染机、</w:t>
            </w:r>
            <w:r>
              <w:rPr>
                <w:rFonts w:hint="eastAsia"/>
                <w:color w:val="auto"/>
                <w:kern w:val="0"/>
                <w:lang w:val="en-US" w:eastAsia="zh-CN"/>
              </w:rPr>
              <w:t>定型机、水洗机、预缩机、</w:t>
            </w:r>
            <w:r>
              <w:rPr>
                <w:rFonts w:hint="eastAsia"/>
                <w:color w:val="auto"/>
                <w:kern w:val="0"/>
                <w:lang w:eastAsia="zh-CN"/>
              </w:rPr>
              <w:t>拉幅机、</w:t>
            </w:r>
            <w:r>
              <w:rPr>
                <w:rFonts w:hint="eastAsia"/>
                <w:color w:val="auto"/>
                <w:kern w:val="0"/>
                <w:lang w:val="en-US" w:eastAsia="zh-CN"/>
              </w:rPr>
              <w:t>空气压缩机、</w:t>
            </w:r>
            <w:r>
              <w:rPr>
                <w:rFonts w:hint="eastAsia"/>
                <w:color w:val="auto"/>
                <w:kern w:val="0"/>
                <w:lang w:eastAsia="zh-CN"/>
              </w:rPr>
              <w:t>货梯、</w:t>
            </w:r>
            <w:r>
              <w:rPr>
                <w:rFonts w:hint="eastAsia"/>
                <w:color w:val="auto"/>
                <w:kern w:val="0"/>
                <w:lang w:val="en-US" w:eastAsia="zh-CN"/>
              </w:rPr>
              <w:t>抽水泵</w:t>
            </w:r>
            <w:r>
              <w:rPr>
                <w:rFonts w:hint="eastAsia" w:ascii="Times New Roman" w:hAnsi="Times New Roman" w:cs="Times New Roman"/>
                <w:color w:val="000000" w:themeColor="text1"/>
                <w:sz w:val="20"/>
                <w:szCs w:val="22"/>
                <w:lang w:val="en-US" w:eastAsia="zh-CN"/>
                <w14:textFill>
                  <w14:solidFill>
                    <w14:schemeClr w14:val="tx1"/>
                  </w14:solidFill>
                </w14:textFill>
              </w:rPr>
              <w:t>等</w:t>
            </w:r>
            <w:r>
              <w:rPr>
                <w:rFonts w:hint="eastAsia" w:ascii="Times New Roman" w:hAnsi="Times New Roman" w:cs="Times New Roman"/>
                <w:szCs w:val="22"/>
                <w:lang w:val="en-US" w:eastAsia="zh-CN"/>
              </w:rPr>
              <w:t>设备。</w:t>
            </w:r>
            <w:r>
              <w:rPr>
                <w:rFonts w:hint="eastAsia" w:ascii="Times New Roman" w:hAnsi="Times New Roman" w:eastAsia="宋体" w:cs="Times New Roman"/>
                <w:color w:val="000000" w:themeColor="text1"/>
                <w:sz w:val="20"/>
                <w:szCs w:val="22"/>
                <w:lang w:val="en-US" w:eastAsia="zh-CN"/>
                <w14:textFill>
                  <w14:solidFill>
                    <w14:schemeClr w14:val="tx1"/>
                  </w14:solidFill>
                </w14:textFill>
              </w:rPr>
              <w:t>满足实际生产要求。</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hint="eastAsia"/>
                <w:color w:val="000000" w:themeColor="text1"/>
                <w:sz w:val="20"/>
                <w:lang w:val="en-US" w:eastAsia="zh-CN"/>
                <w14:textFill>
                  <w14:solidFill>
                    <w14:schemeClr w14:val="tx1"/>
                  </w14:solidFill>
                </w14:textFill>
              </w:rPr>
            </w:pPr>
            <w:r>
              <w:rPr>
                <w:rFonts w:hint="eastAsia" w:ascii="Times New Roman" w:hAnsi="Times New Roman" w:eastAsia="宋体" w:cs="Times New Roman"/>
                <w:color w:val="000000" w:themeColor="text1"/>
                <w:kern w:val="2"/>
                <w:sz w:val="20"/>
                <w:szCs w:val="22"/>
                <w:lang w:val="en-US" w:eastAsia="zh-CN" w:bidi="ar-SA"/>
                <w14:textFill>
                  <w14:solidFill>
                    <w14:schemeClr w14:val="tx1"/>
                  </w14:solidFill>
                </w14:textFill>
              </w:rPr>
              <w:t>公司制定了《能力、意识和培训控制程序》，对人员业</w:t>
            </w:r>
            <w:r>
              <w:rPr>
                <w:rFonts w:hint="eastAsia" w:cs="Times New Roman"/>
                <w:color w:val="000000" w:themeColor="text1"/>
                <w:kern w:val="2"/>
                <w:sz w:val="20"/>
                <w:szCs w:val="22"/>
                <w:lang w:val="en-US" w:eastAsia="zh-CN" w:bidi="ar-SA"/>
                <w14:textFill>
                  <w14:solidFill>
                    <w14:schemeClr w14:val="tx1"/>
                  </w14:solidFill>
                </w14:textFill>
              </w:rPr>
              <w:t>务</w:t>
            </w:r>
            <w:r>
              <w:rPr>
                <w:rFonts w:hint="eastAsia" w:ascii="Times New Roman" w:hAnsi="Times New Roman" w:eastAsia="宋体" w:cs="Times New Roman"/>
                <w:color w:val="000000" w:themeColor="text1"/>
                <w:kern w:val="2"/>
                <w:sz w:val="20"/>
                <w:szCs w:val="22"/>
                <w:lang w:val="en-US" w:eastAsia="zh-CN" w:bidi="ar-SA"/>
                <w14:textFill>
                  <w14:solidFill>
                    <w14:schemeClr w14:val="tx1"/>
                  </w14:solidFill>
                </w14:textFill>
              </w:rPr>
              <w:t>能力、专</w:t>
            </w:r>
            <w:r>
              <w:rPr>
                <w:rFonts w:hint="eastAsia" w:cs="Times New Roman"/>
                <w:color w:val="000000" w:themeColor="text1"/>
                <w:kern w:val="2"/>
                <w:sz w:val="20"/>
                <w:szCs w:val="22"/>
                <w:lang w:val="en-US" w:eastAsia="zh-CN" w:bidi="ar-SA"/>
                <w14:textFill>
                  <w14:solidFill>
                    <w14:schemeClr w14:val="tx1"/>
                  </w14:solidFill>
                </w14:textFill>
              </w:rPr>
              <w:t>业</w:t>
            </w:r>
            <w:r>
              <w:rPr>
                <w:rFonts w:hint="eastAsia" w:ascii="Times New Roman" w:hAnsi="Times New Roman" w:eastAsia="宋体" w:cs="Times New Roman"/>
                <w:color w:val="000000" w:themeColor="text1"/>
                <w:kern w:val="2"/>
                <w:sz w:val="20"/>
                <w:szCs w:val="22"/>
                <w:lang w:val="en-US" w:eastAsia="zh-CN" w:bidi="ar-SA"/>
                <w14:textFill>
                  <w14:solidFill>
                    <w14:schemeClr w14:val="tx1"/>
                  </w14:solidFill>
                </w14:textFill>
              </w:rPr>
              <w:t>水平等提出要求；公司有一支经验丰富的专业研发团队，</w:t>
            </w:r>
            <w:r>
              <w:rPr>
                <w:rFonts w:hint="eastAsia"/>
                <w:color w:val="000000" w:themeColor="text1"/>
                <w:sz w:val="20"/>
                <w:lang w:val="en-US" w:eastAsia="zh-CN"/>
                <w14:textFill>
                  <w14:solidFill>
                    <w14:schemeClr w14:val="tx1"/>
                  </w14:solidFill>
                </w14:textFill>
              </w:rPr>
              <w:t>公司现有员工</w:t>
            </w:r>
            <w:r>
              <w:rPr>
                <w:rFonts w:hint="eastAsia"/>
                <w:color w:val="000000" w:themeColor="text1"/>
                <w:sz w:val="20"/>
                <w:highlight w:val="none"/>
                <w:lang w:val="en-US" w:eastAsia="zh-CN"/>
                <w14:textFill>
                  <w14:solidFill>
                    <w14:schemeClr w14:val="tx1"/>
                  </w14:solidFill>
                </w14:textFill>
              </w:rPr>
              <w:t>165人，管理人员45人，操作工120</w:t>
            </w:r>
            <w:r>
              <w:rPr>
                <w:rFonts w:hint="eastAsia"/>
                <w:color w:val="000000" w:themeColor="text1"/>
                <w:sz w:val="20"/>
                <w:lang w:val="en-US" w:eastAsia="zh-CN"/>
                <w14:textFill>
                  <w14:solidFill>
                    <w14:schemeClr w14:val="tx1"/>
                  </w14:solidFill>
                </w14:textFill>
              </w:rPr>
              <w:t>人，</w:t>
            </w:r>
            <w:r>
              <w:rPr>
                <w:rFonts w:hint="eastAsia" w:ascii="Times New Roman" w:hAnsi="Times New Roman" w:eastAsia="宋体" w:cs="Times New Roman"/>
                <w:color w:val="000000" w:themeColor="text1"/>
                <w:kern w:val="2"/>
                <w:sz w:val="20"/>
                <w:szCs w:val="22"/>
                <w:lang w:val="en-US" w:eastAsia="zh-CN" w:bidi="ar-SA"/>
                <w14:textFill>
                  <w14:solidFill>
                    <w14:schemeClr w14:val="tx1"/>
                  </w14:solidFill>
                </w14:textFill>
              </w:rPr>
              <w:t>年轻化、专业化、高素质的业务及技术管理人员若干，为公司的可持续健康发展奠定坚实基础</w:t>
            </w:r>
            <w:r>
              <w:rPr>
                <w:rFonts w:hint="eastAsia"/>
                <w:color w:val="000000" w:themeColor="text1"/>
                <w:sz w:val="20"/>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before="120" w:line="240" w:lineRule="auto"/>
              <w:textAlignment w:val="auto"/>
              <w:rPr>
                <w:rFonts w:hint="eastAsia"/>
                <w:color w:val="000000" w:themeColor="text1"/>
                <w:sz w:val="20"/>
                <w:lang w:val="en-US" w:eastAsia="zh-CN"/>
                <w14:textFill>
                  <w14:solidFill>
                    <w14:schemeClr w14:val="tx1"/>
                  </w14:solidFill>
                </w14:textFill>
              </w:rPr>
            </w:pPr>
            <w:r>
              <w:rPr>
                <w:rFonts w:hint="eastAsia"/>
                <w:color w:val="000000" w:themeColor="text1"/>
                <w:sz w:val="20"/>
                <w:lang w:val="en-US" w:eastAsia="zh-CN"/>
                <w14:textFill>
                  <w14:solidFill>
                    <w14:schemeClr w14:val="tx1"/>
                  </w14:solidFill>
                </w14:textFill>
              </w:rPr>
              <w:t>配备有《能源</w:t>
            </w:r>
            <w:r>
              <w:rPr>
                <w:rFonts w:hint="eastAsia"/>
                <w:color w:val="auto"/>
                <w:sz w:val="20"/>
                <w:highlight w:val="none"/>
                <w:lang w:val="en-US" w:eastAsia="zh-CN"/>
              </w:rPr>
              <w:t>计量器具一览表</w:t>
            </w:r>
            <w:r>
              <w:rPr>
                <w:rFonts w:hint="eastAsia"/>
                <w:color w:val="000000" w:themeColor="text1"/>
                <w:sz w:val="20"/>
                <w:lang w:val="en-US" w:eastAsia="zh-CN"/>
                <w14:textFill>
                  <w14:solidFill>
                    <w14:schemeClr w14:val="tx1"/>
                  </w14:solidFill>
                </w14:textFill>
              </w:rPr>
              <w:t>》，主要是电表等计量检测设备。见下表</w:t>
            </w:r>
          </w:p>
          <w:p>
            <w:pPr>
              <w:pStyle w:val="2"/>
              <w:rPr>
                <w:rFonts w:hint="eastAsia" w:ascii="Times New Roman" w:hAnsi="Times New Roman" w:eastAsia="宋体" w:cs="Times New Roman"/>
                <w:color w:val="000000" w:themeColor="text1"/>
                <w:kern w:val="2"/>
                <w:sz w:val="20"/>
                <w:szCs w:val="22"/>
                <w:lang w:val="en-US" w:eastAsia="zh-CN" w:bidi="ar-SA"/>
                <w14:textFill>
                  <w14:solidFill>
                    <w14:schemeClr w14:val="tx1"/>
                  </w14:solidFill>
                </w14:textFill>
              </w:rPr>
            </w:pPr>
            <w:r>
              <w:rPr>
                <w:rFonts w:hint="eastAsia"/>
                <w:color w:val="0000FF"/>
                <w:sz w:val="20"/>
                <w:lang w:val="en-US" w:eastAsia="zh-CN"/>
              </w:rPr>
              <w:t>提供的计量设备中未显示“校准状态”——问题项</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pPr>
            <w:r>
              <w:drawing>
                <wp:inline distT="0" distB="0" distL="114300" distR="114300">
                  <wp:extent cx="5761355" cy="1640840"/>
                  <wp:effectExtent l="0" t="0" r="4445" b="1016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7"/>
                          <a:stretch>
                            <a:fillRect/>
                          </a:stretch>
                        </pic:blipFill>
                        <pic:spPr>
                          <a:xfrm>
                            <a:off x="0" y="0"/>
                            <a:ext cx="5761355" cy="1640840"/>
                          </a:xfrm>
                          <a:prstGeom prst="rect">
                            <a:avLst/>
                          </a:prstGeom>
                          <a:noFill/>
                          <a:ln>
                            <a:noFill/>
                          </a:ln>
                        </pic:spPr>
                      </pic:pic>
                    </a:graphicData>
                  </a:graphic>
                </wp:inline>
              </w:drawing>
            </w:r>
          </w:p>
          <w:p>
            <w:pPr>
              <w:pStyle w:val="6"/>
              <w:keepNext w:val="0"/>
              <w:keepLines w:val="0"/>
              <w:pageBreakBefore w:val="0"/>
              <w:widowControl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宋体" w:cs="Times New Roman"/>
                <w:color w:val="000000" w:themeColor="text1"/>
                <w:kern w:val="2"/>
                <w:sz w:val="20"/>
                <w:szCs w:val="22"/>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0"/>
                <w:szCs w:val="22"/>
                <w:lang w:val="en-US" w:eastAsia="zh-CN" w:bidi="ar-SA"/>
                <w14:textFill>
                  <w14:solidFill>
                    <w14:schemeClr w14:val="tx1"/>
                  </w14:solidFill>
                </w14:textFill>
              </w:rPr>
              <w:t>资源配置基本能够满足建立、实施、保持和持续改进能源绩效和能源管理体系的有效运行</w:t>
            </w:r>
            <w:r>
              <w:rPr>
                <w:rFonts w:hint="eastAsia"/>
                <w:color w:val="000000" w:themeColor="text1"/>
                <w:sz w:val="20"/>
                <w:lang w:val="en-US" w:eastAsia="zh-CN"/>
                <w14:textFill>
                  <w14:solidFill>
                    <w14:schemeClr w14:val="tx1"/>
                  </w14:solidFill>
                </w14:textFill>
              </w:rPr>
              <w:t>。</w:t>
            </w: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2160" w:type="dxa"/>
            <w:vAlign w:val="top"/>
          </w:tcPr>
          <w:p>
            <w:pPr>
              <w:pStyle w:val="14"/>
              <w:rPr>
                <w:rFonts w:hint="eastAsia"/>
                <w:lang w:val="en-US" w:eastAsia="zh-CN"/>
              </w:rPr>
            </w:pPr>
            <w:r>
              <w:rPr>
                <w:rFonts w:hint="eastAsia" w:ascii="宋体" w:hAnsi="宋体" w:eastAsia="宋体" w:cs="Times New Roman"/>
                <w:bCs w:val="0"/>
                <w:spacing w:val="0"/>
                <w:kern w:val="2"/>
                <w:sz w:val="21"/>
                <w:szCs w:val="21"/>
                <w:lang w:val="en-US" w:eastAsia="zh-CN" w:bidi="ar-SA"/>
              </w:rPr>
              <w:t>监视测量</w:t>
            </w:r>
          </w:p>
        </w:tc>
        <w:tc>
          <w:tcPr>
            <w:tcW w:w="957" w:type="dxa"/>
            <w:vAlign w:val="top"/>
          </w:tcPr>
          <w:p>
            <w:pPr>
              <w:rPr>
                <w:rFonts w:hint="default" w:ascii="宋体" w:hAnsi="宋体" w:eastAsia="宋体"/>
                <w:szCs w:val="21"/>
                <w:lang w:val="en-US" w:eastAsia="zh-CN"/>
              </w:rPr>
            </w:pPr>
            <w:r>
              <w:rPr>
                <w:rFonts w:hint="eastAsia" w:ascii="宋体" w:hAnsi="宋体"/>
                <w:szCs w:val="21"/>
                <w:lang w:val="en-US" w:eastAsia="zh-CN"/>
              </w:rPr>
              <w:t>9.1.1</w:t>
            </w:r>
          </w:p>
        </w:tc>
        <w:tc>
          <w:tcPr>
            <w:tcW w:w="10007" w:type="dxa"/>
            <w:vAlign w:val="top"/>
          </w:tcPr>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hint="eastAsia"/>
                <w:lang w:val="en-US" w:eastAsia="zh-CN"/>
              </w:rPr>
            </w:pPr>
            <w:r>
              <w:rPr>
                <w:rFonts w:hint="eastAsia"/>
                <w:lang w:val="en-US" w:eastAsia="zh-CN"/>
              </w:rPr>
              <w:t>企业建立了《监视和测量控制程序》和《监测和计量装置的购买、使用、维护和处置程序》确定能源性能和能源管理体系:需要监测和测量的内容，至少包括以下关键特征:</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hint="eastAsia"/>
                <w:lang w:val="en-US" w:eastAsia="zh-CN"/>
              </w:rPr>
            </w:pPr>
            <w:r>
              <w:rPr>
                <w:rFonts w:hint="eastAsia"/>
                <w:lang w:val="en-US" w:eastAsia="zh-CN"/>
              </w:rPr>
              <w:t>实现目标和能源目标方面的有效性；能源绩效参数；主要能源使用；实际能耗与预期能耗;</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hint="eastAsia"/>
                <w:lang w:val="en-US" w:eastAsia="zh-CN"/>
              </w:rPr>
            </w:pPr>
            <w:r>
              <w:rPr>
                <w:rFonts w:hint="eastAsia"/>
                <w:lang w:val="en-US" w:eastAsia="zh-CN"/>
              </w:rPr>
              <w:t>监测、测量、分析和评估的方法，以确保有效的结果;进行监视和测量。</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hint="eastAsia"/>
                <w:lang w:val="en-US" w:eastAsia="zh-CN"/>
              </w:rPr>
            </w:pPr>
            <w:r>
              <w:rPr>
                <w:rFonts w:hint="eastAsia"/>
                <w:lang w:val="en-US" w:eastAsia="zh-CN"/>
              </w:rPr>
              <w:t>企业评估其能源性能和能源管理体系的有效性——见内审、管理评审。</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hint="eastAsia"/>
                <w:lang w:val="en-US" w:eastAsia="zh-CN"/>
              </w:rPr>
            </w:pPr>
            <w:r>
              <w:rPr>
                <w:rFonts w:hint="eastAsia"/>
                <w:lang w:val="en-US" w:eastAsia="zh-CN"/>
              </w:rPr>
              <w:t>通过将能源绩效参数与能源基准进行比较来评估能源绩效的改进——见能源评审报告。</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hint="eastAsia"/>
                <w:lang w:val="en-US" w:eastAsia="zh-CN"/>
              </w:rPr>
            </w:pPr>
            <w:r>
              <w:rPr>
                <w:rFonts w:hint="eastAsia"/>
                <w:lang w:val="en-US" w:eastAsia="zh-CN"/>
              </w:rPr>
              <w:t>调查和应对能源性能的重大偏差。组织应保留关于调查和反应结果的文件化信息，企业在能源管理体系建立运行以来未发生重大偏差——见法律法规和合规性评价。等</w:t>
            </w:r>
          </w:p>
          <w:p>
            <w:pPr>
              <w:pStyle w:val="14"/>
              <w:keepNext w:val="0"/>
              <w:keepLines w:val="0"/>
              <w:pageBreakBefore w:val="0"/>
              <w:widowControl w:val="0"/>
              <w:kinsoku/>
              <w:wordWrap/>
              <w:overflowPunct/>
              <w:topLinePunct w:val="0"/>
              <w:autoSpaceDE/>
              <w:autoSpaceDN/>
              <w:bidi w:val="0"/>
              <w:adjustRightInd/>
              <w:snapToGrid/>
              <w:spacing w:before="157" w:beforeLines="50" w:line="240" w:lineRule="auto"/>
              <w:textAlignment w:val="auto"/>
              <w:rPr>
                <w:rFonts w:hint="default"/>
                <w:lang w:val="en-US" w:eastAsia="zh-CN"/>
              </w:rPr>
            </w:pPr>
            <w:r>
              <w:rPr>
                <w:rFonts w:hint="eastAsia"/>
                <w:lang w:val="en-US" w:eastAsia="zh-CN"/>
              </w:rPr>
              <w:t>以上监测测量显示能源绩效及能源管理体系运行满足要求。</w:t>
            </w:r>
          </w:p>
        </w:tc>
        <w:tc>
          <w:tcPr>
            <w:tcW w:w="1585" w:type="dxa"/>
          </w:tcPr>
          <w:p>
            <w:pPr>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160" w:type="dxa"/>
            <w:vAlign w:val="top"/>
          </w:tcPr>
          <w:p>
            <w:pPr>
              <w:rPr>
                <w:rFonts w:hint="eastAsia" w:ascii="宋体" w:hAnsi="宋体" w:eastAsia="宋体" w:cs="Times New Roman"/>
                <w:b/>
                <w:bCs/>
                <w:kern w:val="2"/>
                <w:sz w:val="21"/>
                <w:szCs w:val="21"/>
                <w:lang w:val="en-US" w:eastAsia="zh-CN" w:bidi="ar-SA"/>
              </w:rPr>
            </w:pPr>
            <w:r>
              <w:rPr>
                <w:rFonts w:hint="eastAsia" w:ascii="宋体" w:hAnsi="宋体"/>
                <w:szCs w:val="21"/>
              </w:rPr>
              <w:t>管理评审</w:t>
            </w:r>
          </w:p>
        </w:tc>
        <w:tc>
          <w:tcPr>
            <w:tcW w:w="957" w:type="dxa"/>
            <w:vAlign w:val="top"/>
          </w:tcPr>
          <w:p>
            <w:pPr>
              <w:rPr>
                <w:rFonts w:hint="eastAsia" w:ascii="宋体" w:hAnsi="宋体" w:eastAsia="宋体" w:cs="Times New Roman"/>
                <w:b/>
                <w:bCs/>
                <w:kern w:val="2"/>
                <w:sz w:val="21"/>
                <w:szCs w:val="21"/>
                <w:lang w:val="en-US" w:eastAsia="zh-CN" w:bidi="ar-SA"/>
              </w:rPr>
            </w:pPr>
            <w:r>
              <w:rPr>
                <w:rFonts w:hint="eastAsia" w:ascii="宋体" w:hAnsi="宋体"/>
                <w:szCs w:val="21"/>
              </w:rPr>
              <w:t>9.3</w:t>
            </w:r>
          </w:p>
        </w:tc>
        <w:tc>
          <w:tcPr>
            <w:tcW w:w="10007" w:type="dxa"/>
            <w:vAlign w:val="top"/>
          </w:tcPr>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hint="eastAsia"/>
                <w:lang w:val="en-US" w:eastAsia="zh-CN"/>
              </w:rPr>
            </w:pPr>
            <w:r>
              <w:rPr>
                <w:rFonts w:hint="eastAsia"/>
                <w:lang w:val="en-US" w:eastAsia="zh-CN"/>
              </w:rPr>
              <w:t>该公司制定了《管理评审程序》，由总经理负责定期组织能源管理体系的管理评审，对能源管理体系的持续有效性、适宜性和充分性进行评价。</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pPr>
            <w:r>
              <w:rPr>
                <w:rFonts w:hint="eastAsia"/>
                <w:lang w:val="en-US" w:eastAsia="zh-CN"/>
              </w:rPr>
              <w:t>要求</w:t>
            </w:r>
            <w:r>
              <w:rPr>
                <w:rFonts w:hint="eastAsia"/>
              </w:rPr>
              <w:t>一年至少要进行一次管理评审，由总经理主持。特殊情况下，可增加管理评审频次。评审内容包括：内审结果；管理方针和目标的适宜性；过程的控制情况；改进的需求、</w:t>
            </w:r>
            <w:r>
              <w:rPr>
                <w:rFonts w:hint="eastAsia"/>
                <w:lang w:val="en-US" w:eastAsia="zh-CN"/>
              </w:rPr>
              <w:t>能源</w:t>
            </w:r>
            <w:r>
              <w:rPr>
                <w:rFonts w:hint="eastAsia"/>
              </w:rPr>
              <w:t>绩效；合规性评价等。</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hint="eastAsia"/>
                <w:lang w:val="en-US" w:eastAsia="zh-CN"/>
              </w:rPr>
            </w:pPr>
            <w:r>
              <w:rPr>
                <w:rFonts w:hint="eastAsia"/>
              </w:rPr>
              <w:t>查管理评审</w:t>
            </w:r>
            <w:r>
              <w:rPr>
                <w:rFonts w:hint="eastAsia"/>
                <w:lang w:val="en-US" w:eastAsia="zh-CN"/>
              </w:rPr>
              <w:t>资料汇编，包括管理评审</w:t>
            </w:r>
            <w:r>
              <w:rPr>
                <w:rFonts w:hint="eastAsia"/>
              </w:rPr>
              <w:t>计划</w:t>
            </w:r>
            <w:r>
              <w:rPr>
                <w:rFonts w:hint="eastAsia"/>
                <w:lang w:eastAsia="zh-CN"/>
              </w:rPr>
              <w:t>、</w:t>
            </w:r>
            <w:r>
              <w:rPr>
                <w:rFonts w:hint="eastAsia"/>
                <w:lang w:val="en-US" w:eastAsia="zh-CN"/>
              </w:rPr>
              <w:t>管理评审会议通知、会议签到表、各部门管理评审材料、管理评审报告、管理评审整改措施实施计划等。</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hint="default"/>
              </w:rPr>
            </w:pPr>
            <w:r>
              <w:rPr>
                <w:rFonts w:hint="eastAsia"/>
                <w:lang w:val="en-US" w:eastAsia="zh-CN"/>
              </w:rPr>
              <w:t>查看管理评审计划：</w:t>
            </w:r>
            <w:r>
              <w:rPr>
                <w:rFonts w:hint="eastAsia"/>
              </w:rPr>
              <w:t>管理评</w:t>
            </w:r>
            <w:r>
              <w:rPr>
                <w:rFonts w:hint="default"/>
              </w:rPr>
              <w:t>审的时间：20</w:t>
            </w:r>
            <w:r>
              <w:rPr>
                <w:rFonts w:hint="eastAsia"/>
                <w:lang w:val="en-US" w:eastAsia="zh-CN"/>
              </w:rPr>
              <w:t>21</w:t>
            </w:r>
            <w:r>
              <w:rPr>
                <w:rFonts w:hint="default"/>
              </w:rPr>
              <w:t>年</w:t>
            </w:r>
            <w:r>
              <w:rPr>
                <w:rFonts w:hint="eastAsia"/>
                <w:lang w:val="en-US" w:eastAsia="zh-CN"/>
              </w:rPr>
              <w:t>10</w:t>
            </w:r>
            <w:r>
              <w:rPr>
                <w:rFonts w:hint="default"/>
              </w:rPr>
              <w:t>月</w:t>
            </w:r>
            <w:r>
              <w:rPr>
                <w:rFonts w:hint="eastAsia"/>
                <w:lang w:val="en-US" w:eastAsia="zh-CN"/>
              </w:rPr>
              <w:t>30</w:t>
            </w:r>
            <w:r>
              <w:rPr>
                <w:rFonts w:hint="default"/>
              </w:rPr>
              <w:t xml:space="preserve">日主持人：总经理    参加人：领导层、各部门负责人 </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hint="default"/>
              </w:rPr>
            </w:pPr>
            <w:r>
              <w:rPr>
                <w:rFonts w:hint="default"/>
              </w:rPr>
              <w:t>要求每个部门需提交的管理评审输入内容包含了标准条款的要求。时间安排符合程序文件的要求。</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lang w:val="en-US" w:eastAsia="zh-CN"/>
              </w:rPr>
            </w:pPr>
            <w:r>
              <w:rPr>
                <w:rFonts w:hint="default"/>
              </w:rPr>
              <w:t>编制：</w:t>
            </w:r>
            <w:r>
              <w:rPr>
                <w:rFonts w:hint="eastAsia" w:eastAsia="宋体"/>
                <w:szCs w:val="22"/>
                <w:lang w:eastAsia="zh-CN"/>
              </w:rPr>
              <w:t>陈亚国</w:t>
            </w:r>
            <w:r>
              <w:rPr>
                <w:rFonts w:hint="default"/>
              </w:rPr>
              <w:t xml:space="preserve"> 日期：20</w:t>
            </w:r>
            <w:r>
              <w:rPr>
                <w:rFonts w:hint="eastAsia"/>
                <w:lang w:val="en-US" w:eastAsia="zh-CN"/>
              </w:rPr>
              <w:t>21</w:t>
            </w:r>
            <w:r>
              <w:rPr>
                <w:rFonts w:hint="default"/>
              </w:rPr>
              <w:t>年</w:t>
            </w:r>
            <w:r>
              <w:rPr>
                <w:rFonts w:hint="eastAsia"/>
                <w:lang w:val="en-US" w:eastAsia="zh-CN"/>
              </w:rPr>
              <w:t>10</w:t>
            </w:r>
            <w:r>
              <w:rPr>
                <w:rFonts w:hint="default"/>
              </w:rPr>
              <w:t>月</w:t>
            </w:r>
            <w:r>
              <w:rPr>
                <w:rFonts w:hint="eastAsia"/>
                <w:lang w:val="en-US" w:eastAsia="zh-CN"/>
              </w:rPr>
              <w:t>28</w:t>
            </w:r>
            <w:r>
              <w:rPr>
                <w:rFonts w:hint="default"/>
              </w:rPr>
              <w:t xml:space="preserve">日   </w:t>
            </w:r>
            <w:r>
              <w:rPr>
                <w:rFonts w:hint="eastAsia"/>
                <w:lang w:val="en-US" w:eastAsia="zh-CN"/>
              </w:rPr>
              <w:t xml:space="preserve">  批准：洪文富 </w:t>
            </w:r>
            <w:r>
              <w:rPr>
                <w:rFonts w:hint="default"/>
              </w:rPr>
              <w:t>日期：20</w:t>
            </w:r>
            <w:r>
              <w:rPr>
                <w:rFonts w:hint="eastAsia"/>
                <w:lang w:val="en-US" w:eastAsia="zh-CN"/>
              </w:rPr>
              <w:t>21</w:t>
            </w:r>
            <w:r>
              <w:rPr>
                <w:rFonts w:hint="default"/>
              </w:rPr>
              <w:t>年</w:t>
            </w:r>
            <w:r>
              <w:rPr>
                <w:rFonts w:hint="eastAsia"/>
                <w:lang w:val="en-US" w:eastAsia="zh-CN"/>
              </w:rPr>
              <w:t>10</w:t>
            </w:r>
            <w:r>
              <w:rPr>
                <w:rFonts w:hint="default"/>
              </w:rPr>
              <w:t>月</w:t>
            </w:r>
            <w:r>
              <w:rPr>
                <w:rFonts w:hint="eastAsia"/>
                <w:lang w:val="en-US" w:eastAsia="zh-CN"/>
              </w:rPr>
              <w:t>28</w:t>
            </w:r>
            <w:r>
              <w:rPr>
                <w:rFonts w:hint="default"/>
              </w:rPr>
              <w:t>日</w:t>
            </w:r>
            <w:r>
              <w:rPr>
                <w:rFonts w:hint="eastAsia"/>
                <w:lang w:val="en-US" w:eastAsia="zh-CN"/>
              </w:rPr>
              <w:t xml:space="preserve"> </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hint="default" w:ascii="Times New Roman" w:hAnsi="Times New Roman" w:eastAsia="宋体" w:cs="Times New Roman"/>
                <w:szCs w:val="22"/>
              </w:rPr>
            </w:pPr>
            <w:r>
              <w:rPr>
                <w:rFonts w:hint="default"/>
              </w:rPr>
              <w:t>查看管理评审输入的资</w:t>
            </w:r>
            <w:r>
              <w:rPr>
                <w:rFonts w:hint="default" w:ascii="Times New Roman" w:hAnsi="Times New Roman" w:eastAsia="宋体" w:cs="Times New Roman"/>
                <w:szCs w:val="22"/>
              </w:rPr>
              <w:t>料：a.</w:t>
            </w:r>
            <w:r>
              <w:rPr>
                <w:rFonts w:hint="eastAsia" w:ascii="Times New Roman" w:hAnsi="Times New Roman" w:eastAsia="宋体" w:cs="Times New Roman"/>
                <w:szCs w:val="22"/>
              </w:rPr>
              <w:t>以往管理评审所采取措施的状况；</w:t>
            </w:r>
            <w:r>
              <w:rPr>
                <w:rFonts w:hint="default" w:ascii="Times New Roman" w:hAnsi="Times New Roman" w:eastAsia="宋体" w:cs="Times New Roman"/>
                <w:szCs w:val="22"/>
              </w:rPr>
              <w:t>b.</w:t>
            </w:r>
            <w:r>
              <w:rPr>
                <w:rFonts w:hint="eastAsia" w:ascii="Times New Roman" w:hAnsi="Times New Roman" w:eastAsia="宋体" w:cs="Times New Roman"/>
                <w:szCs w:val="22"/>
              </w:rPr>
              <w:t>与能源管理体系相关的内、外部因素以及相关的风险和机遇的变化。</w:t>
            </w:r>
            <w:r>
              <w:rPr>
                <w:rFonts w:hint="default" w:ascii="Times New Roman" w:hAnsi="Times New Roman" w:eastAsia="宋体" w:cs="Times New Roman"/>
                <w:szCs w:val="22"/>
              </w:rPr>
              <w:t>c.</w:t>
            </w:r>
            <w:r>
              <w:rPr>
                <w:rFonts w:hint="eastAsia" w:ascii="Times New Roman" w:hAnsi="Times New Roman" w:eastAsia="宋体" w:cs="Times New Roman"/>
                <w:szCs w:val="22"/>
              </w:rPr>
              <w:t>有关能源管理体系绩效方面的信息，包括其趋势</w:t>
            </w:r>
            <w:r>
              <w:rPr>
                <w:rFonts w:hint="eastAsia" w:ascii="Times New Roman" w:hAnsi="Times New Roman" w:eastAsia="宋体" w:cs="Times New Roman"/>
                <w:szCs w:val="22"/>
                <w:lang w:eastAsia="zh-CN"/>
              </w:rPr>
              <w:t>：</w:t>
            </w:r>
            <w:r>
              <w:rPr>
                <w:rFonts w:hint="eastAsia" w:ascii="Times New Roman" w:hAnsi="Times New Roman" w:eastAsia="宋体" w:cs="Times New Roman"/>
                <w:szCs w:val="22"/>
              </w:rPr>
              <w:t>不符合和纠正措施；监视和测量结果；审核结果；法律法规和其他要求的符合性评价结果；</w:t>
            </w:r>
            <w:r>
              <w:rPr>
                <w:rFonts w:hint="default" w:ascii="Times New Roman" w:hAnsi="Times New Roman" w:eastAsia="宋体" w:cs="Times New Roman"/>
                <w:szCs w:val="22"/>
              </w:rPr>
              <w:t>d.</w:t>
            </w:r>
            <w:r>
              <w:rPr>
                <w:rFonts w:hint="eastAsia" w:ascii="Times New Roman" w:hAnsi="Times New Roman" w:eastAsia="宋体" w:cs="Times New Roman"/>
                <w:szCs w:val="22"/>
              </w:rPr>
              <w:t>持续改进的机会，包括人员能力。</w:t>
            </w:r>
            <w:r>
              <w:rPr>
                <w:rFonts w:hint="default" w:ascii="Times New Roman" w:hAnsi="Times New Roman" w:eastAsia="宋体" w:cs="Times New Roman"/>
                <w:szCs w:val="22"/>
              </w:rPr>
              <w:t>e.</w:t>
            </w:r>
            <w:r>
              <w:rPr>
                <w:rFonts w:hint="eastAsia" w:ascii="Times New Roman" w:hAnsi="Times New Roman" w:eastAsia="宋体" w:cs="Times New Roman"/>
                <w:szCs w:val="22"/>
              </w:rPr>
              <w:t>能源方针。</w:t>
            </w:r>
            <w:r>
              <w:rPr>
                <w:rFonts w:hint="default" w:ascii="Times New Roman" w:hAnsi="Times New Roman" w:eastAsia="宋体" w:cs="Times New Roman"/>
                <w:szCs w:val="22"/>
              </w:rPr>
              <w:t>f.</w:t>
            </w:r>
            <w:r>
              <w:rPr>
                <w:rFonts w:hint="eastAsia" w:ascii="Times New Roman" w:hAnsi="Times New Roman" w:eastAsia="宋体" w:cs="Times New Roman"/>
                <w:szCs w:val="22"/>
              </w:rPr>
              <w:t>源绩效</w:t>
            </w:r>
            <w:r>
              <w:rPr>
                <w:rFonts w:hint="eastAsia" w:ascii="Times New Roman" w:hAnsi="Times New Roman" w:eastAsia="宋体" w:cs="Times New Roman"/>
                <w:szCs w:val="22"/>
                <w:lang w:val="en-US" w:eastAsia="zh-CN"/>
              </w:rPr>
              <w:t>有关的信息，</w:t>
            </w:r>
            <w:r>
              <w:rPr>
                <w:rFonts w:hint="eastAsia" w:ascii="Times New Roman" w:hAnsi="Times New Roman" w:eastAsia="宋体" w:cs="Times New Roman"/>
                <w:szCs w:val="22"/>
              </w:rPr>
              <w:t>应包括</w:t>
            </w:r>
            <w:r>
              <w:rPr>
                <w:rFonts w:hint="eastAsia" w:ascii="Times New Roman" w:hAnsi="Times New Roman" w:eastAsia="宋体" w:cs="Times New Roman"/>
                <w:szCs w:val="22"/>
                <w:lang w:eastAsia="zh-CN"/>
              </w:rPr>
              <w:t>：</w:t>
            </w:r>
            <w:r>
              <w:rPr>
                <w:rFonts w:hint="eastAsia" w:ascii="Times New Roman" w:hAnsi="Times New Roman" w:eastAsia="宋体" w:cs="Times New Roman"/>
                <w:szCs w:val="22"/>
              </w:rPr>
              <w:t>目标和能源指标的实现程度；基于监视和测量结果（包括能源绩效参数）的能源绩效和能源绩效改进；措施计划的状</w:t>
            </w:r>
            <w:r>
              <w:rPr>
                <w:rFonts w:hint="eastAsia" w:ascii="Times New Roman" w:hAnsi="Times New Roman" w:eastAsia="宋体" w:cs="Times New Roman"/>
                <w:szCs w:val="22"/>
                <w:lang w:val="en-US" w:eastAsia="zh-CN"/>
              </w:rPr>
              <w:t>等</w:t>
            </w:r>
            <w:r>
              <w:rPr>
                <w:rFonts w:hint="eastAsia" w:ascii="Times New Roman" w:hAnsi="Times New Roman" w:eastAsia="宋体" w:cs="Times New Roman"/>
                <w:szCs w:val="22"/>
              </w:rPr>
              <w:t>。输入内容基本符合标准要求。</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pPr>
            <w:r>
              <w:rPr>
                <w:rFonts w:hint="eastAsia"/>
              </w:rPr>
              <w:t>提</w:t>
            </w:r>
            <w:r>
              <w:rPr>
                <w:rFonts w:hint="eastAsia" w:ascii="Times New Roman" w:hAnsi="Times New Roman" w:eastAsia="宋体" w:cs="Times New Roman"/>
                <w:szCs w:val="22"/>
              </w:rPr>
              <w:t>供管理评审会议记录：管理评审内容：以往管理评审后续措施实施情况；能源管理方针的适宜性；能源绩效和相关能源绩效参数适宜性及符合性；本</w:t>
            </w:r>
            <w:r>
              <w:rPr>
                <w:rFonts w:hint="eastAsia" w:ascii="Times New Roman" w:hAnsi="Times New Roman" w:eastAsia="宋体" w:cs="Times New Roman"/>
                <w:szCs w:val="22"/>
                <w:lang w:eastAsia="zh-CN"/>
              </w:rPr>
              <w:t>公司</w:t>
            </w:r>
            <w:r>
              <w:rPr>
                <w:rFonts w:hint="eastAsia" w:ascii="Times New Roman" w:hAnsi="Times New Roman" w:eastAsia="宋体" w:cs="Times New Roman"/>
                <w:szCs w:val="22"/>
              </w:rPr>
              <w:t>应遵循的法律法规和其他要求的变化以及合规性评价的结果；能源目标、指标和管理实施方案的实现程度；能源管理体系的内部审核结果；纠正措施和预防措施的实施情况；对下一阶段能源绩效的规划及管理体系运行的重点工作；相关方关注的问题及能源管理体系改进建议等；改进的建议。</w:t>
            </w:r>
            <w:r>
              <w:rPr>
                <w:rFonts w:hint="eastAsia"/>
              </w:rPr>
              <w:t>各部门负责人汇报了各部门的管理体系运行情况，管理者代表汇报了公司管理体系运行状况和内审不合格的整改情况，参会人员根据各部门的汇报情况展开讨论，总经理总结，同时就改进的决议作出了安排。</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hint="default"/>
              </w:rPr>
            </w:pPr>
            <w:r>
              <w:rPr>
                <w:rFonts w:hint="eastAsia"/>
              </w:rPr>
              <w:t>查看管理评审报告，批准：</w:t>
            </w:r>
            <w:r>
              <w:rPr>
                <w:rFonts w:hint="eastAsia"/>
                <w:lang w:val="en-US" w:eastAsia="zh-CN"/>
              </w:rPr>
              <w:t xml:space="preserve">洪文富 </w:t>
            </w:r>
            <w:r>
              <w:rPr>
                <w:rFonts w:hint="default"/>
              </w:rPr>
              <w:t>20</w:t>
            </w:r>
            <w:r>
              <w:rPr>
                <w:rFonts w:hint="eastAsia"/>
                <w:lang w:val="en-US" w:eastAsia="zh-CN"/>
              </w:rPr>
              <w:t>21</w:t>
            </w:r>
            <w:r>
              <w:rPr>
                <w:rFonts w:hint="default"/>
              </w:rPr>
              <w:t>年</w:t>
            </w:r>
            <w:r>
              <w:rPr>
                <w:rFonts w:hint="eastAsia"/>
                <w:lang w:val="en-US" w:eastAsia="zh-CN"/>
              </w:rPr>
              <w:t>10</w:t>
            </w:r>
            <w:r>
              <w:rPr>
                <w:rFonts w:hint="default"/>
              </w:rPr>
              <w:t>月</w:t>
            </w:r>
            <w:r>
              <w:rPr>
                <w:rFonts w:hint="eastAsia"/>
                <w:lang w:val="en-US" w:eastAsia="zh-CN"/>
              </w:rPr>
              <w:t>30</w:t>
            </w:r>
            <w:r>
              <w:rPr>
                <w:rFonts w:hint="default"/>
              </w:rPr>
              <w:t>日</w:t>
            </w:r>
          </w:p>
          <w:p>
            <w:pPr>
              <w:pStyle w:val="5"/>
              <w:keepNext w:val="0"/>
              <w:keepLines w:val="0"/>
              <w:pageBreakBefore w:val="0"/>
              <w:widowControl w:val="0"/>
              <w:kinsoku/>
              <w:wordWrap/>
              <w:overflowPunct/>
              <w:topLinePunct w:val="0"/>
              <w:autoSpaceDE/>
              <w:autoSpaceDN/>
              <w:bidi w:val="0"/>
              <w:adjustRightInd/>
              <w:snapToGrid/>
              <w:spacing w:before="157" w:beforeLines="50" w:after="0" w:line="240" w:lineRule="auto"/>
              <w:ind w:left="0" w:leftChars="0" w:firstLine="0" w:firstLineChars="0"/>
              <w:textAlignment w:val="auto"/>
              <w:rPr>
                <w:rFonts w:hint="eastAsia"/>
                <w:lang w:val="en-US" w:eastAsia="zh-CN"/>
              </w:rPr>
            </w:pPr>
            <w:r>
              <w:rPr>
                <w:rFonts w:hint="eastAsia" w:ascii="Times New Roman" w:hAnsi="Times New Roman" w:eastAsia="宋体" w:cs="Times New Roman"/>
                <w:kern w:val="2"/>
                <w:sz w:val="21"/>
                <w:szCs w:val="22"/>
                <w:lang w:val="en-US" w:eastAsia="zh-CN" w:bidi="ar-SA"/>
              </w:rPr>
              <w:t>管理评审会认为：通过上述评审表明，公司建立的能源管理体系自我完善机制健全；能源管理体系运行良好；建立的能源方针是适宜的不需要进行调整，其他资源充分能够保证体系的正常运行和持续改进。综上所述，本公司建立的能源管理体系是充分、适宜和有效。</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hint="eastAsia" w:ascii="Times New Roman" w:hAnsi="Times New Roman" w:eastAsia="宋体" w:cs="Times New Roman"/>
                <w:kern w:val="2"/>
                <w:sz w:val="21"/>
                <w:szCs w:val="22"/>
                <w:lang w:val="en-US" w:eastAsia="zh-CN" w:bidi="ar-SA"/>
              </w:rPr>
            </w:pPr>
            <w:r>
              <w:rPr>
                <w:rFonts w:hint="eastAsia" w:ascii="Times New Roman" w:hAnsi="Times New Roman" w:cs="Times New Roman"/>
                <w:b w:val="0"/>
                <w:bCs/>
                <w:sz w:val="21"/>
                <w:szCs w:val="21"/>
                <w:lang w:val="en-US" w:eastAsia="zh-CN"/>
              </w:rPr>
              <w:t>符合要求。</w:t>
            </w: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2160" w:type="dxa"/>
            <w:vAlign w:val="top"/>
          </w:tcPr>
          <w:p>
            <w:pPr>
              <w:rPr>
                <w:rFonts w:hint="eastAsia"/>
              </w:rPr>
            </w:pPr>
            <w:r>
              <w:rPr>
                <w:rFonts w:hint="eastAsia"/>
                <w:lang w:val="en-US" w:eastAsia="zh-CN"/>
              </w:rPr>
              <w:t>不符合纠正及</w:t>
            </w:r>
            <w:r>
              <w:rPr>
                <w:rFonts w:hint="eastAsia"/>
              </w:rPr>
              <w:t>持续改进</w:t>
            </w:r>
          </w:p>
          <w:p>
            <w:pPr>
              <w:pStyle w:val="14"/>
              <w:rPr>
                <w:rFonts w:hint="eastAsia"/>
                <w:lang w:val="en-US" w:eastAsia="zh-CN"/>
              </w:rPr>
            </w:pPr>
          </w:p>
        </w:tc>
        <w:tc>
          <w:tcPr>
            <w:tcW w:w="957" w:type="dxa"/>
            <w:vAlign w:val="top"/>
          </w:tcPr>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hint="eastAsia" w:ascii="宋体" w:hAnsi="宋体" w:eastAsia="宋体" w:cs="Times New Roman"/>
                <w:szCs w:val="21"/>
                <w:lang w:val="en-US" w:eastAsia="zh-CN"/>
              </w:rPr>
            </w:pPr>
            <w:r>
              <w:rPr>
                <w:rFonts w:hint="eastAsia" w:ascii="宋体" w:hAnsi="宋体" w:cs="Times New Roman"/>
                <w:szCs w:val="21"/>
                <w:lang w:val="en-US" w:eastAsia="zh-CN"/>
              </w:rPr>
              <w:t>10.1/</w:t>
            </w:r>
            <w:r>
              <w:rPr>
                <w:rFonts w:hint="eastAsia" w:ascii="宋体" w:hAnsi="宋体" w:eastAsia="宋体" w:cs="Times New Roman"/>
                <w:szCs w:val="21"/>
              </w:rPr>
              <w:t xml:space="preserve">10.2 </w:t>
            </w:r>
          </w:p>
        </w:tc>
        <w:tc>
          <w:tcPr>
            <w:tcW w:w="10007" w:type="dxa"/>
            <w:vAlign w:val="top"/>
          </w:tcPr>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hint="eastAsia" w:ascii="Times New Roman" w:hAnsi="Times New Roman" w:eastAsia="宋体" w:cs="宋体"/>
                <w:szCs w:val="22"/>
                <w:lang w:eastAsia="zh-CN"/>
              </w:rPr>
            </w:pPr>
            <w:r>
              <w:rPr>
                <w:rFonts w:hint="eastAsia" w:ascii="Times New Roman" w:hAnsi="Times New Roman" w:eastAsia="宋体" w:cs="宋体"/>
                <w:szCs w:val="22"/>
                <w:lang w:eastAsia="zh-CN"/>
              </w:rPr>
              <w:t>为消除潜在的不符合，防止其再发生，公司应识别实施预防措施。公司须从下列来源中识别潜在的不符合：</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pPr>
            <w:r>
              <w:rPr>
                <w:rFonts w:hint="eastAsia" w:ascii="Times New Roman" w:hAnsi="Times New Roman" w:eastAsia="宋体" w:cs="宋体"/>
                <w:szCs w:val="22"/>
                <w:lang w:eastAsia="zh-CN"/>
              </w:rPr>
              <w:t>管理评审；测量与监控；数据分析；</w:t>
            </w:r>
            <w:r>
              <w:rPr>
                <w:rFonts w:hint="eastAsia" w:ascii="Times New Roman" w:hAnsi="Times New Roman" w:eastAsia="宋体" w:cs="宋体"/>
                <w:szCs w:val="22"/>
                <w:lang w:val="en-US" w:eastAsia="zh-CN"/>
              </w:rPr>
              <w:t>能源使用</w:t>
            </w:r>
            <w:r>
              <w:rPr>
                <w:rFonts w:hint="eastAsia" w:ascii="Times New Roman" w:hAnsi="Times New Roman" w:eastAsia="宋体" w:cs="宋体"/>
                <w:szCs w:val="22"/>
                <w:lang w:eastAsia="zh-CN"/>
              </w:rPr>
              <w:t>方面的相关方</w:t>
            </w:r>
            <w:r>
              <w:rPr>
                <w:rFonts w:hint="eastAsia" w:ascii="Times New Roman" w:hAnsi="Times New Roman" w:eastAsia="宋体" w:cs="宋体"/>
                <w:szCs w:val="22"/>
                <w:lang w:val="en-US" w:eastAsia="zh-CN"/>
              </w:rPr>
              <w:t>要求</w:t>
            </w:r>
            <w:r>
              <w:rPr>
                <w:rFonts w:hint="eastAsia" w:ascii="Times New Roman" w:hAnsi="Times New Roman" w:eastAsia="宋体" w:cs="宋体"/>
                <w:szCs w:val="22"/>
                <w:lang w:eastAsia="zh-CN"/>
              </w:rPr>
              <w:t>；明确职责传递潜在不符合信息；调查，分析，确认潜在不符合的原因；评估，制定与潜在不符合相适应的预防措施；实施所制定的预防措施，防止潜在不符合的发生；明确职责，跟踪验证，评审预防措施实施的有效性；记录预防措施的制定，实施和效果。</w:t>
            </w:r>
            <w:r>
              <w:rPr>
                <w:rFonts w:hint="eastAsia" w:cs="宋体"/>
              </w:rPr>
              <w:t>内容基本符合标准要求。</w:t>
            </w:r>
          </w:p>
          <w:p>
            <w:pPr>
              <w:keepNext w:val="0"/>
              <w:keepLines w:val="0"/>
              <w:pageBreakBefore w:val="0"/>
              <w:widowControl w:val="0"/>
              <w:kinsoku/>
              <w:wordWrap/>
              <w:overflowPunct/>
              <w:topLinePunct w:val="0"/>
              <w:autoSpaceDE/>
              <w:autoSpaceDN/>
              <w:bidi w:val="0"/>
              <w:adjustRightInd/>
              <w:snapToGrid/>
              <w:spacing w:before="157" w:beforeLines="50" w:line="240" w:lineRule="auto"/>
              <w:textAlignment w:val="auto"/>
            </w:pPr>
            <w:r>
              <w:rPr>
                <w:rFonts w:hint="eastAsia" w:cs="宋体"/>
              </w:rPr>
              <w:t>对日常工作检查，管理评审，内审，其他考评，合规性评价发现的不符合采取纠正，防止事态发展，进行原因分析，采取必要的纠正预防措施，防止事件的发生、再发生。</w:t>
            </w:r>
          </w:p>
          <w:p>
            <w:pPr>
              <w:keepNext w:val="0"/>
              <w:keepLines w:val="0"/>
              <w:pageBreakBefore w:val="0"/>
              <w:widowControl w:val="0"/>
              <w:kinsoku/>
              <w:wordWrap/>
              <w:overflowPunct/>
              <w:topLinePunct w:val="0"/>
              <w:autoSpaceDE/>
              <w:autoSpaceDN/>
              <w:bidi w:val="0"/>
              <w:adjustRightInd/>
              <w:snapToGrid/>
              <w:spacing w:before="120" w:after="0" w:line="240" w:lineRule="auto"/>
              <w:textAlignment w:val="auto"/>
              <w:rPr>
                <w:rFonts w:hint="eastAsia" w:ascii="Times New Roman" w:hAnsi="Times New Roman" w:eastAsia="宋体" w:cs="Times New Roman"/>
                <w:kern w:val="2"/>
                <w:sz w:val="21"/>
                <w:szCs w:val="22"/>
                <w:lang w:val="en-US" w:eastAsia="zh-CN" w:bidi="ar-SA"/>
              </w:rPr>
            </w:pPr>
            <w:r>
              <w:rPr>
                <w:rFonts w:hint="eastAsia" w:cs="宋体"/>
              </w:rPr>
              <w:t>对管理评审、内审提出的不符合及改进要求，进行原因分析，制定了具体措施，目前已实施完成。</w:t>
            </w:r>
          </w:p>
        </w:tc>
        <w:tc>
          <w:tcPr>
            <w:tcW w:w="1585" w:type="dxa"/>
          </w:tcPr>
          <w:p>
            <w:pPr>
              <w:rPr>
                <w:rFonts w:hint="default"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2160" w:type="dxa"/>
            <w:vAlign w:val="top"/>
          </w:tcPr>
          <w:p>
            <w:pPr>
              <w:keepNext w:val="0"/>
              <w:keepLines w:val="0"/>
              <w:pageBreakBefore w:val="0"/>
              <w:widowControl w:val="0"/>
              <w:kinsoku/>
              <w:wordWrap/>
              <w:overflowPunct/>
              <w:topLinePunct w:val="0"/>
              <w:autoSpaceDE/>
              <w:autoSpaceDN/>
              <w:bidi w:val="0"/>
              <w:adjustRightInd/>
              <w:snapToGrid/>
              <w:spacing w:before="120" w:after="0" w:line="240" w:lineRule="auto"/>
              <w:textAlignment w:val="auto"/>
              <w:rPr>
                <w:rFonts w:hint="eastAsia" w:ascii="Times New Roman" w:hAnsi="Times New Roman" w:cs="宋体"/>
                <w:szCs w:val="22"/>
                <w:lang w:val="en-US" w:eastAsia="zh-CN"/>
              </w:rPr>
            </w:pPr>
            <w:r>
              <w:rPr>
                <w:rFonts w:hint="eastAsia" w:ascii="Times New Roman" w:hAnsi="Times New Roman" w:cs="宋体"/>
                <w:szCs w:val="22"/>
                <w:lang w:val="en-US" w:eastAsia="zh-CN"/>
              </w:rPr>
              <w:t>管理层有关的管理体系控制及运行活动等</w:t>
            </w:r>
          </w:p>
          <w:p>
            <w:pPr>
              <w:keepNext w:val="0"/>
              <w:keepLines w:val="0"/>
              <w:pageBreakBefore w:val="0"/>
              <w:widowControl w:val="0"/>
              <w:kinsoku/>
              <w:wordWrap/>
              <w:overflowPunct/>
              <w:topLinePunct w:val="0"/>
              <w:autoSpaceDE/>
              <w:autoSpaceDN/>
              <w:bidi w:val="0"/>
              <w:adjustRightInd/>
              <w:snapToGrid/>
              <w:spacing w:before="120" w:after="0" w:line="240" w:lineRule="auto"/>
              <w:textAlignment w:val="auto"/>
              <w:rPr>
                <w:rFonts w:hint="eastAsia" w:ascii="Times New Roman" w:hAnsi="Times New Roman" w:cs="宋体"/>
                <w:szCs w:val="22"/>
                <w:lang w:val="en-US" w:eastAsia="zh-CN"/>
              </w:rPr>
            </w:pPr>
            <w:r>
              <w:rPr>
                <w:rFonts w:hint="eastAsia" w:ascii="Times New Roman" w:hAnsi="Times New Roman" w:cs="宋体"/>
                <w:szCs w:val="22"/>
                <w:lang w:val="en-US" w:eastAsia="zh-CN"/>
              </w:rPr>
              <w:t>（国家/地方监督抽查情况；相关方投诉及处理情况；一阶段问题验证，验证企业相关资质证明的有效性；）</w:t>
            </w:r>
          </w:p>
        </w:tc>
        <w:tc>
          <w:tcPr>
            <w:tcW w:w="957" w:type="dxa"/>
            <w:vAlign w:val="top"/>
          </w:tcPr>
          <w:p>
            <w:pPr>
              <w:rPr>
                <w:rFonts w:hint="eastAsia" w:ascii="宋体" w:hAnsi="宋体" w:eastAsia="宋体" w:cs="Times New Roman"/>
                <w:szCs w:val="21"/>
              </w:rPr>
            </w:pPr>
          </w:p>
        </w:tc>
        <w:tc>
          <w:tcPr>
            <w:tcW w:w="10007" w:type="dxa"/>
            <w:vAlign w:val="top"/>
          </w:tcPr>
          <w:p>
            <w:pPr>
              <w:keepNext w:val="0"/>
              <w:keepLines w:val="0"/>
              <w:pageBreakBefore w:val="0"/>
              <w:widowControl w:val="0"/>
              <w:kinsoku/>
              <w:wordWrap/>
              <w:overflowPunct/>
              <w:topLinePunct w:val="0"/>
              <w:autoSpaceDE/>
              <w:autoSpaceDN/>
              <w:bidi w:val="0"/>
              <w:adjustRightInd/>
              <w:snapToGrid/>
              <w:spacing w:before="120" w:after="0" w:line="240" w:lineRule="auto"/>
              <w:textAlignment w:val="auto"/>
              <w:rPr>
                <w:rFonts w:hint="default"/>
                <w:lang w:val="en-US" w:eastAsia="zh-CN"/>
              </w:rPr>
            </w:pPr>
            <w:r>
              <w:rPr>
                <w:rFonts w:hint="eastAsia"/>
                <w:lang w:val="en-US" w:eastAsia="zh-CN"/>
              </w:rPr>
              <w:t>国家/地方监督抽查情况：无相关节能或能源管理监督检查</w:t>
            </w:r>
          </w:p>
          <w:p>
            <w:pPr>
              <w:keepNext w:val="0"/>
              <w:keepLines w:val="0"/>
              <w:pageBreakBefore w:val="0"/>
              <w:widowControl w:val="0"/>
              <w:kinsoku/>
              <w:wordWrap/>
              <w:overflowPunct/>
              <w:topLinePunct w:val="0"/>
              <w:autoSpaceDE/>
              <w:autoSpaceDN/>
              <w:bidi w:val="0"/>
              <w:adjustRightInd/>
              <w:snapToGrid/>
              <w:spacing w:before="120" w:after="0" w:line="240" w:lineRule="auto"/>
              <w:textAlignment w:val="auto"/>
              <w:rPr>
                <w:rFonts w:hint="default"/>
                <w:lang w:val="en-US" w:eastAsia="zh-CN"/>
              </w:rPr>
            </w:pPr>
            <w:r>
              <w:rPr>
                <w:rFonts w:hint="eastAsia"/>
                <w:lang w:val="en-US" w:eastAsia="zh-CN"/>
              </w:rPr>
              <w:t>相关方投诉及处理情况：无投诉</w:t>
            </w:r>
          </w:p>
          <w:p>
            <w:pPr>
              <w:keepNext w:val="0"/>
              <w:keepLines w:val="0"/>
              <w:pageBreakBefore w:val="0"/>
              <w:widowControl w:val="0"/>
              <w:kinsoku/>
              <w:wordWrap/>
              <w:overflowPunct/>
              <w:topLinePunct w:val="0"/>
              <w:autoSpaceDE/>
              <w:autoSpaceDN/>
              <w:bidi w:val="0"/>
              <w:adjustRightInd/>
              <w:snapToGrid/>
              <w:spacing w:before="120" w:after="0" w:line="240" w:lineRule="auto"/>
              <w:textAlignment w:val="auto"/>
              <w:rPr>
                <w:rFonts w:hint="default"/>
                <w:lang w:val="en-US" w:eastAsia="zh-CN"/>
              </w:rPr>
            </w:pPr>
            <w:r>
              <w:rPr>
                <w:rFonts w:hint="eastAsia"/>
                <w:lang w:val="en-US" w:eastAsia="zh-CN"/>
              </w:rPr>
              <w:t>一阶段问题验证：已整改</w:t>
            </w:r>
          </w:p>
          <w:p>
            <w:pPr>
              <w:keepNext w:val="0"/>
              <w:keepLines w:val="0"/>
              <w:pageBreakBefore w:val="0"/>
              <w:widowControl w:val="0"/>
              <w:kinsoku/>
              <w:wordWrap/>
              <w:overflowPunct/>
              <w:topLinePunct w:val="0"/>
              <w:autoSpaceDE/>
              <w:autoSpaceDN/>
              <w:bidi w:val="0"/>
              <w:adjustRightInd/>
              <w:snapToGrid/>
              <w:spacing w:before="120" w:after="0" w:line="240" w:lineRule="auto"/>
              <w:textAlignment w:val="auto"/>
              <w:rPr>
                <w:rFonts w:hint="eastAsia"/>
                <w:lang w:val="en-US" w:eastAsia="zh-CN"/>
              </w:rPr>
            </w:pPr>
            <w:r>
              <w:rPr>
                <w:rFonts w:hint="eastAsia"/>
                <w:lang w:val="en-US" w:eastAsia="zh-CN"/>
              </w:rPr>
              <w:t>验证企业相关资质证明的有效性：查《营业执照》复印件编号：</w:t>
            </w:r>
            <w:r>
              <w:rPr>
                <w:rFonts w:hint="eastAsia"/>
                <w:color w:val="000000"/>
                <w:szCs w:val="21"/>
                <w:u w:val="none"/>
                <w:lang w:val="en-US" w:eastAsia="zh-CN"/>
              </w:rPr>
              <w:t>91350582717344011K</w:t>
            </w:r>
            <w:r>
              <w:rPr>
                <w:rFonts w:hint="eastAsia"/>
                <w:lang w:val="en-US" w:eastAsia="zh-CN"/>
              </w:rPr>
              <w:t xml:space="preserve"> ；有效期：</w:t>
            </w:r>
            <w:r>
              <w:rPr>
                <w:rFonts w:hint="eastAsia"/>
                <w:color w:val="000000"/>
                <w:szCs w:val="21"/>
                <w:u w:val="none"/>
                <w:lang w:val="en-US" w:eastAsia="zh-CN"/>
              </w:rPr>
              <w:t>2000年07月11日至2050年07月11日</w:t>
            </w:r>
            <w:r>
              <w:rPr>
                <w:rFonts w:hint="eastAsia"/>
                <w:lang w:val="en-US" w:eastAsia="zh-CN"/>
              </w:rPr>
              <w:t>；</w:t>
            </w:r>
          </w:p>
          <w:p>
            <w:pPr>
              <w:keepNext w:val="0"/>
              <w:keepLines w:val="0"/>
              <w:pageBreakBefore w:val="0"/>
              <w:widowControl w:val="0"/>
              <w:kinsoku/>
              <w:wordWrap/>
              <w:overflowPunct/>
              <w:topLinePunct w:val="0"/>
              <w:autoSpaceDE/>
              <w:autoSpaceDN/>
              <w:bidi w:val="0"/>
              <w:adjustRightInd/>
              <w:snapToGrid/>
              <w:spacing w:before="120" w:line="240" w:lineRule="auto"/>
              <w:textAlignment w:val="auto"/>
            </w:pPr>
            <w:r>
              <w:rPr>
                <w:rFonts w:hint="eastAsia"/>
                <w:lang w:val="en-US" w:eastAsia="zh-CN"/>
              </w:rPr>
              <w:t xml:space="preserve">营业执照经营范围的相关描述： </w:t>
            </w:r>
            <w:r>
              <w:rPr>
                <w:rFonts w:hint="eastAsia"/>
                <w:color w:val="000000"/>
                <w:szCs w:val="21"/>
                <w:u w:val="none"/>
                <w:lang w:val="en-US" w:eastAsia="zh-CN"/>
              </w:rPr>
              <w:t>高档织物面料的印染及后整理加工.......</w:t>
            </w:r>
            <w:r>
              <w:rPr>
                <w:rFonts w:hint="eastAsia"/>
                <w:lang w:val="en-US" w:eastAsia="zh-CN"/>
              </w:rPr>
              <w:t>（依法须经批准的项目，经相关部门批准后方可开展经营活动）</w:t>
            </w:r>
            <w:r>
              <w:t xml:space="preserve"> </w:t>
            </w:r>
          </w:p>
          <w:p>
            <w:pPr>
              <w:pStyle w:val="14"/>
              <w:rPr>
                <w:rFonts w:hint="default" w:eastAsia="宋体"/>
                <w:lang w:val="en-US" w:eastAsia="zh-CN"/>
              </w:rPr>
            </w:pPr>
            <w:r>
              <w:rPr>
                <w:rFonts w:hint="eastAsia" w:ascii="Times New Roman" w:hAnsi="Times New Roman" w:eastAsia="宋体" w:cs="Times New Roman"/>
                <w:bCs w:val="0"/>
                <w:spacing w:val="0"/>
                <w:kern w:val="2"/>
                <w:sz w:val="21"/>
                <w:szCs w:val="22"/>
                <w:lang w:val="en-US" w:eastAsia="zh-CN" w:bidi="ar-SA"/>
              </w:rPr>
              <w:t>证件及相关证明有效。</w:t>
            </w:r>
          </w:p>
        </w:tc>
        <w:tc>
          <w:tcPr>
            <w:tcW w:w="1585" w:type="dxa"/>
          </w:tcPr>
          <w:p>
            <w:pPr>
              <w:rPr>
                <w:rFonts w:hint="eastAsia"/>
                <w:lang w:val="en-US" w:eastAsia="zh-CN"/>
              </w:rPr>
            </w:pPr>
          </w:p>
        </w:tc>
      </w:tr>
    </w:tbl>
    <w:p>
      <w:pPr>
        <w:jc w:val="both"/>
        <w:rPr>
          <w:rFonts w:hint="eastAsia"/>
        </w:rPr>
      </w:pPr>
      <w:r>
        <w:rPr>
          <w:rFonts w:hint="eastAsia"/>
        </w:rPr>
        <w:t>说明：不符合标注N</w:t>
      </w:r>
    </w:p>
    <w:p>
      <w:pPr>
        <w:spacing w:line="480" w:lineRule="exact"/>
        <w:jc w:val="center"/>
        <w:rPr>
          <w:rFonts w:hint="eastAsia" w:ascii="隶书" w:hAnsi="宋体" w:eastAsia="隶书"/>
          <w:bCs/>
          <w:color w:val="000000"/>
          <w:sz w:val="36"/>
          <w:szCs w:val="36"/>
        </w:rPr>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2"/>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rPr>
                <w:rFonts w:hint="eastAsia" w:eastAsia="宋体"/>
                <w:sz w:val="24"/>
                <w:szCs w:val="24"/>
                <w:lang w:val="en-US" w:eastAsia="zh-CN"/>
              </w:rPr>
            </w:pPr>
            <w:r>
              <w:rPr>
                <w:rFonts w:hint="eastAsia"/>
                <w:sz w:val="24"/>
                <w:szCs w:val="24"/>
              </w:rPr>
              <w:t>受审核部门：</w:t>
            </w:r>
            <w:r>
              <w:rPr>
                <w:rFonts w:hint="eastAsia"/>
                <w:sz w:val="24"/>
                <w:szCs w:val="24"/>
                <w:lang w:val="en-US" w:eastAsia="zh-CN"/>
              </w:rPr>
              <w:t>行政部</w:t>
            </w:r>
            <w:r>
              <w:rPr>
                <w:rFonts w:hint="eastAsia"/>
                <w:sz w:val="24"/>
                <w:szCs w:val="24"/>
              </w:rPr>
              <w:t xml:space="preserve"> </w:t>
            </w:r>
            <w:r>
              <w:rPr>
                <w:sz w:val="24"/>
                <w:szCs w:val="24"/>
              </w:rPr>
              <w:t xml:space="preserve">  </w:t>
            </w:r>
            <w:r>
              <w:rPr>
                <w:rFonts w:hint="eastAsia"/>
                <w:sz w:val="24"/>
                <w:szCs w:val="24"/>
                <w:lang w:val="en-US" w:eastAsia="zh-CN"/>
              </w:rPr>
              <w:t xml:space="preserve">  </w:t>
            </w:r>
            <w:r>
              <w:rPr>
                <w:rFonts w:hint="eastAsia"/>
                <w:sz w:val="24"/>
                <w:szCs w:val="24"/>
              </w:rPr>
              <w:t>主管领导：</w:t>
            </w:r>
            <w:r>
              <w:rPr>
                <w:rFonts w:hint="eastAsia"/>
                <w:sz w:val="24"/>
                <w:szCs w:val="24"/>
                <w:highlight w:val="none"/>
                <w:lang w:val="en-US" w:eastAsia="zh-CN"/>
              </w:rPr>
              <w:t xml:space="preserve">陈亚国    </w:t>
            </w:r>
            <w:r>
              <w:rPr>
                <w:sz w:val="24"/>
                <w:szCs w:val="24"/>
              </w:rPr>
              <w:t xml:space="preserve"> </w:t>
            </w:r>
            <w:r>
              <w:rPr>
                <w:rFonts w:hint="eastAsia"/>
                <w:sz w:val="24"/>
                <w:szCs w:val="24"/>
              </w:rPr>
              <w:t>陪同人员：</w:t>
            </w:r>
            <w:r>
              <w:rPr>
                <w:rFonts w:hint="eastAsia"/>
                <w:sz w:val="24"/>
                <w:szCs w:val="24"/>
                <w:lang w:val="en-US" w:eastAsia="zh-CN"/>
              </w:rPr>
              <w:t>吴天宝</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004" w:type="dxa"/>
            <w:vAlign w:val="center"/>
          </w:tcPr>
          <w:p>
            <w:pPr>
              <w:spacing w:before="120"/>
            </w:pPr>
            <w:r>
              <w:rPr>
                <w:rFonts w:hint="eastAsia"/>
                <w:sz w:val="24"/>
                <w:szCs w:val="24"/>
              </w:rPr>
              <w:t xml:space="preserve">审核员： </w:t>
            </w:r>
            <w:r>
              <w:rPr>
                <w:rFonts w:hint="eastAsia"/>
                <w:sz w:val="24"/>
                <w:szCs w:val="24"/>
                <w:lang w:val="en-US" w:eastAsia="zh-CN"/>
              </w:rPr>
              <w:t>李丽英</w:t>
            </w:r>
            <w:r>
              <w:rPr>
                <w:sz w:val="24"/>
                <w:szCs w:val="24"/>
              </w:rPr>
              <w:t xml:space="preserve"> </w:t>
            </w:r>
            <w:r>
              <w:rPr>
                <w:rFonts w:hint="eastAsia"/>
                <w:sz w:val="24"/>
                <w:szCs w:val="24"/>
                <w:lang w:val="en-US" w:eastAsia="zh-CN"/>
              </w:rPr>
              <w:t xml:space="preserve">    </w:t>
            </w:r>
            <w:r>
              <w:rPr>
                <w:sz w:val="24"/>
                <w:szCs w:val="24"/>
              </w:rPr>
              <w:t xml:space="preserve"> </w:t>
            </w:r>
            <w:r>
              <w:rPr>
                <w:rFonts w:hint="eastAsia"/>
                <w:sz w:val="24"/>
                <w:szCs w:val="24"/>
              </w:rPr>
              <w:t>审核时间：</w:t>
            </w:r>
            <w:r>
              <w:t>2021年1</w:t>
            </w:r>
            <w:r>
              <w:rPr>
                <w:rFonts w:hint="eastAsia"/>
                <w:lang w:val="en-US" w:eastAsia="zh-CN"/>
              </w:rPr>
              <w:t>2</w:t>
            </w:r>
            <w:r>
              <w:t>月</w:t>
            </w:r>
            <w:r>
              <w:rPr>
                <w:rFonts w:hint="eastAsia"/>
                <w:lang w:val="en-US" w:eastAsia="zh-CN"/>
              </w:rPr>
              <w:t>3</w:t>
            </w:r>
            <w:r>
              <w:t xml:space="preserve">日 </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004" w:type="dxa"/>
            <w:vAlign w:val="center"/>
          </w:tcPr>
          <w:p>
            <w:pPr>
              <w:spacing w:line="300" w:lineRule="exact"/>
              <w:rPr>
                <w:rFonts w:hint="eastAsia" w:eastAsia="宋体"/>
                <w:sz w:val="24"/>
                <w:szCs w:val="24"/>
                <w:lang w:val="en-US" w:eastAsia="zh-CN"/>
              </w:rPr>
            </w:pPr>
            <w:r>
              <w:rPr>
                <w:rFonts w:hint="eastAsia"/>
                <w:sz w:val="24"/>
                <w:szCs w:val="24"/>
              </w:rPr>
              <w:t>审核条款：</w:t>
            </w:r>
            <w:r>
              <w:rPr>
                <w:rFonts w:hint="eastAsia" w:ascii="宋体" w:hAnsi="宋体" w:eastAsia="宋体" w:cs="Times New Roman"/>
                <w:b/>
                <w:bCs/>
                <w:sz w:val="21"/>
                <w:szCs w:val="21"/>
              </w:rPr>
              <w:t>E</w:t>
            </w:r>
            <w:r>
              <w:rPr>
                <w:rFonts w:hint="eastAsia" w:ascii="宋体" w:hAnsi="宋体" w:eastAsia="宋体" w:cs="Times New Roman"/>
                <w:b/>
                <w:bCs/>
                <w:sz w:val="21"/>
                <w:szCs w:val="21"/>
                <w:lang w:val="en-US" w:eastAsia="zh-CN"/>
              </w:rPr>
              <w:t>n</w:t>
            </w:r>
            <w:r>
              <w:rPr>
                <w:rFonts w:hint="eastAsia" w:ascii="宋体" w:hAnsi="宋体" w:eastAsia="宋体" w:cs="Times New Roman"/>
                <w:b/>
                <w:bCs/>
                <w:sz w:val="21"/>
                <w:szCs w:val="21"/>
              </w:rPr>
              <w:t>MS</w:t>
            </w:r>
            <w:r>
              <w:rPr>
                <w:rFonts w:hint="eastAsia" w:ascii="宋体" w:hAnsi="宋体" w:eastAsia="宋体" w:cs="Times New Roman"/>
                <w:b/>
                <w:bCs/>
                <w:sz w:val="21"/>
                <w:szCs w:val="21"/>
                <w:lang w:val="en-US" w:eastAsia="zh-CN"/>
              </w:rPr>
              <w:t>:5.3/6.2/7.2/7.3/7.5/8.1/</w:t>
            </w:r>
            <w:r>
              <w:rPr>
                <w:rFonts w:hint="eastAsia" w:ascii="宋体" w:hAnsi="宋体" w:cs="Times New Roman"/>
                <w:b/>
                <w:bCs/>
                <w:sz w:val="21"/>
                <w:szCs w:val="21"/>
                <w:lang w:val="en-US" w:eastAsia="zh-CN"/>
              </w:rPr>
              <w:t>9.1.2/</w:t>
            </w:r>
            <w:r>
              <w:rPr>
                <w:rFonts w:hint="eastAsia" w:ascii="宋体" w:hAnsi="宋体" w:eastAsia="宋体" w:cs="Times New Roman"/>
                <w:b/>
                <w:bCs/>
                <w:sz w:val="21"/>
                <w:szCs w:val="21"/>
                <w:lang w:val="en-US" w:eastAsia="zh-CN"/>
              </w:rPr>
              <w:t xml:space="preserve">9.2/10.1  </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trPr>
        <w:tc>
          <w:tcPr>
            <w:tcW w:w="2160" w:type="dxa"/>
          </w:tcPr>
          <w:p>
            <w:r>
              <w:rPr>
                <w:rFonts w:hint="eastAsia" w:ascii="宋体" w:hAnsi="宋体" w:eastAsia="宋体" w:cs="Times New Roman"/>
                <w:b/>
                <w:bCs/>
                <w:sz w:val="21"/>
                <w:szCs w:val="21"/>
              </w:rPr>
              <w:t>岗位、职责和权限</w:t>
            </w:r>
            <w:r>
              <w:rPr>
                <w:rFonts w:hint="eastAsia" w:ascii="宋体" w:hAnsi="宋体" w:cs="Times New Roman"/>
                <w:b/>
                <w:bCs/>
                <w:sz w:val="21"/>
                <w:szCs w:val="21"/>
                <w:lang w:eastAsia="zh-CN"/>
              </w:rPr>
              <w:t>；</w:t>
            </w:r>
          </w:p>
        </w:tc>
        <w:tc>
          <w:tcPr>
            <w:tcW w:w="960" w:type="dxa"/>
          </w:tcPr>
          <w:p>
            <w:r>
              <w:rPr>
                <w:rFonts w:hint="eastAsia" w:ascii="宋体" w:hAnsi="宋体" w:eastAsia="宋体" w:cs="Times New Roman"/>
                <w:b/>
                <w:bCs/>
                <w:sz w:val="21"/>
                <w:szCs w:val="21"/>
              </w:rPr>
              <w:t>5.3</w:t>
            </w:r>
          </w:p>
        </w:tc>
        <w:tc>
          <w:tcPr>
            <w:tcW w:w="10004" w:type="dxa"/>
          </w:tcPr>
          <w:p>
            <w:pPr>
              <w:pStyle w:val="6"/>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after="0" w:line="240" w:lineRule="auto"/>
              <w:textAlignment w:val="auto"/>
              <w:rPr>
                <w:rFonts w:hint="eastAsia"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行政部领导陈亚国介绍：行政部岗位设置：包括部门经理、行政、后勤、人事等岗位。编制了岗位职责和要求。</w:t>
            </w:r>
          </w:p>
          <w:p>
            <w:pPr>
              <w:pStyle w:val="6"/>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after="0" w:line="240" w:lineRule="auto"/>
              <w:textAlignment w:val="auto"/>
              <w:rPr>
                <w:rFonts w:hint="eastAsia"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行政部是能源管理体系的主推部门，负责贯彻落实方针、法律、法规、标准及规定，编制实施公司节能及年度计划。负责能源管理体系培训计划的编制、落实和检查；确保能源管理人员和主要耗能设备操作人员培训达标。</w:t>
            </w:r>
          </w:p>
          <w:p>
            <w:pPr>
              <w:pStyle w:val="6"/>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after="0" w:line="240" w:lineRule="auto"/>
              <w:textAlignment w:val="auto"/>
              <w:rPr>
                <w:rFonts w:hint="eastAsia"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负责能源管理内外部信息的交流及外来文件的接收、传递、控制等工作。</w:t>
            </w:r>
          </w:p>
          <w:p>
            <w:pPr>
              <w:pStyle w:val="6"/>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after="0" w:line="240" w:lineRule="auto"/>
              <w:textAlignment w:val="auto"/>
              <w:rPr>
                <w:rFonts w:hint="eastAsia"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制定内审计划和方案，参与能源管理体系管理评审，确保体系的正常运行。</w:t>
            </w:r>
          </w:p>
          <w:p>
            <w:pPr>
              <w:pStyle w:val="6"/>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after="0" w:line="240" w:lineRule="auto"/>
              <w:textAlignment w:val="auto"/>
              <w:rPr>
                <w:rFonts w:hint="eastAsia"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能源管理体系的文件归口管理部门，负责编制及发布能源管理手册及相关文件；负责公司文件的制定、完善和管理文件的接收、发放、销毁等控制工作。</w:t>
            </w:r>
          </w:p>
          <w:p>
            <w:pPr>
              <w:pStyle w:val="6"/>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after="0" w:line="240" w:lineRule="auto"/>
              <w:textAlignment w:val="auto"/>
              <w:rPr>
                <w:rFonts w:hint="eastAsia"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负责监督、督促、维护、监控公司能源管理体系的运行情况；每月对各部门管理目标完成情况进行能源绩效考核。</w:t>
            </w:r>
          </w:p>
          <w:p>
            <w:pPr>
              <w:pStyle w:val="6"/>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after="0" w:line="240" w:lineRule="auto"/>
              <w:textAlignment w:val="auto"/>
              <w:rPr>
                <w:rFonts w:hint="eastAsia"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搜集、存档能源管理方面的法律法规文件，并定期评价对适用法律法规和其他要求的遵守情况。收集、整理节能新技术、新设备及新能源和再生能源有效利用方面的信息。</w:t>
            </w:r>
          </w:p>
          <w:p>
            <w:pPr>
              <w:pStyle w:val="6"/>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after="0" w:line="240" w:lineRule="auto"/>
              <w:textAlignment w:val="auto"/>
              <w:rPr>
                <w:rFonts w:hint="default"/>
                <w:lang w:val="en-US" w:eastAsia="zh-CN"/>
              </w:rPr>
            </w:pP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2160" w:type="dxa"/>
          </w:tcPr>
          <w:p>
            <w:pPr>
              <w:rPr>
                <w:rFonts w:hint="eastAsia" w:ascii="宋体" w:hAnsi="宋体" w:eastAsia="宋体" w:cs="Times New Roman"/>
                <w:b/>
                <w:bCs/>
                <w:sz w:val="21"/>
                <w:szCs w:val="21"/>
              </w:rPr>
            </w:pPr>
            <w:r>
              <w:rPr>
                <w:rFonts w:hint="eastAsia" w:ascii="宋体" w:hAnsi="宋体" w:eastAsia="宋体" w:cs="Times New Roman"/>
                <w:b/>
                <w:bCs/>
                <w:sz w:val="21"/>
                <w:szCs w:val="21"/>
                <w:lang w:val="en-US" w:eastAsia="zh-CN"/>
              </w:rPr>
              <w:t>目标指标方案</w:t>
            </w:r>
          </w:p>
        </w:tc>
        <w:tc>
          <w:tcPr>
            <w:tcW w:w="960" w:type="dxa"/>
          </w:tcPr>
          <w:p>
            <w:pPr>
              <w:rPr>
                <w:rFonts w:hint="default" w:ascii="宋体" w:hAnsi="宋体" w:eastAsia="宋体" w:cs="Times New Roman"/>
                <w:b/>
                <w:bCs/>
                <w:sz w:val="21"/>
                <w:szCs w:val="21"/>
                <w:lang w:val="en-US" w:eastAsia="zh-CN"/>
              </w:rPr>
            </w:pPr>
            <w:r>
              <w:rPr>
                <w:rFonts w:hint="eastAsia" w:ascii="宋体" w:hAnsi="宋体" w:cs="Times New Roman"/>
                <w:b/>
                <w:bCs/>
                <w:sz w:val="21"/>
                <w:szCs w:val="21"/>
                <w:lang w:val="en-US" w:eastAsia="zh-CN"/>
              </w:rPr>
              <w:t>6.2</w:t>
            </w:r>
          </w:p>
        </w:tc>
        <w:tc>
          <w:tcPr>
            <w:tcW w:w="10004" w:type="dxa"/>
          </w:tcPr>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hint="eastAsia"/>
                <w:lang w:val="en-US" w:eastAsia="zh-CN"/>
              </w:rPr>
            </w:pPr>
            <w:r>
              <w:rPr>
                <w:rFonts w:hint="eastAsia"/>
                <w:lang w:val="en-US" w:eastAsia="zh-CN"/>
              </w:rPr>
              <w:t>企业制定了公司级的能源目标：目标完成情况：</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hint="eastAsia"/>
                <w:lang w:val="en-US" w:eastAsia="zh-CN"/>
              </w:rPr>
            </w:pPr>
            <w:r>
              <w:rPr>
                <w:rFonts w:hint="eastAsia"/>
                <w:lang w:val="en-US" w:eastAsia="zh-CN"/>
              </w:rPr>
              <w:t>2020年目标：单位产品能耗≦1393.12kgce/万米；2020年实际完成单位产品能耗为1480.61kgce/万米，没有完成目标；</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hint="eastAsia"/>
                <w:lang w:val="en-US" w:eastAsia="zh-CN"/>
              </w:rPr>
            </w:pPr>
            <w:r>
              <w:rPr>
                <w:rFonts w:hint="eastAsia"/>
                <w:lang w:val="en-US" w:eastAsia="zh-CN"/>
              </w:rPr>
              <w:t>2021年的目标2041.22kgce/万米；2021年1-10月份实际完成2532.12kgce/万米。没有完成目标。</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hint="eastAsia"/>
                <w:lang w:val="en-US" w:eastAsia="zh-CN"/>
              </w:rPr>
            </w:pPr>
            <w:r>
              <w:rPr>
                <w:rFonts w:hint="eastAsia"/>
                <w:lang w:val="en-US" w:eastAsia="zh-CN"/>
              </w:rPr>
              <w:t>公司目标指标未分解，行政部通过职责管理对公司级目标指标的完成起到促进作用。</w:t>
            </w:r>
          </w:p>
          <w:p>
            <w:pPr>
              <w:pStyle w:val="2"/>
              <w:rPr>
                <w:rFonts w:hint="default" w:ascii="Times New Roman" w:hAnsi="Times New Roman" w:eastAsia="宋体" w:cs="Times New Roman"/>
                <w:color w:val="0000FF"/>
                <w:spacing w:val="0"/>
                <w:kern w:val="2"/>
                <w:sz w:val="21"/>
                <w:szCs w:val="22"/>
                <w:lang w:val="en-US" w:eastAsia="zh-CN" w:bidi="ar-SA"/>
              </w:rPr>
            </w:pPr>
            <w:r>
              <w:rPr>
                <w:rFonts w:hint="eastAsia" w:ascii="Times New Roman" w:hAnsi="Times New Roman" w:eastAsia="宋体" w:cs="Times New Roman"/>
                <w:color w:val="0000FF"/>
                <w:spacing w:val="0"/>
                <w:kern w:val="2"/>
                <w:sz w:val="21"/>
                <w:szCs w:val="22"/>
                <w:lang w:val="en-US" w:eastAsia="zh-CN" w:bidi="ar-SA"/>
              </w:rPr>
              <w:t>建议企业结合各部门的职责进行能源目标的分解，以确保公司能源目标的实现，做到节约能源，人人有责，充分调动大家的积极性。——建议项</w:t>
            </w:r>
          </w:p>
        </w:tc>
        <w:tc>
          <w:tcPr>
            <w:tcW w:w="1585" w:type="dxa"/>
          </w:tcPr>
          <w:p>
            <w:pPr>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2160" w:type="dxa"/>
          </w:tcPr>
          <w:p>
            <w:pPr>
              <w:rPr>
                <w:rFonts w:hint="default" w:ascii="宋体" w:hAnsi="宋体" w:eastAsia="宋体" w:cs="Times New Roman"/>
                <w:b/>
                <w:bCs/>
                <w:sz w:val="21"/>
                <w:szCs w:val="21"/>
                <w:lang w:val="en-US"/>
              </w:rPr>
            </w:pPr>
            <w:r>
              <w:rPr>
                <w:rFonts w:hint="eastAsia" w:ascii="宋体" w:hAnsi="宋体" w:eastAsia="宋体" w:cs="Times New Roman"/>
                <w:b/>
                <w:bCs/>
                <w:sz w:val="21"/>
                <w:szCs w:val="21"/>
                <w:lang w:val="en-US" w:eastAsia="zh-CN"/>
              </w:rPr>
              <w:t>信息沟通及交流</w:t>
            </w:r>
          </w:p>
        </w:tc>
        <w:tc>
          <w:tcPr>
            <w:tcW w:w="960" w:type="dxa"/>
          </w:tcPr>
          <w:p>
            <w:pPr>
              <w:rPr>
                <w:rFonts w:hint="eastAsia" w:ascii="宋体" w:hAnsi="宋体" w:cs="Times New Roman"/>
                <w:b/>
                <w:bCs/>
                <w:sz w:val="21"/>
                <w:szCs w:val="21"/>
                <w:lang w:val="en-US" w:eastAsia="zh-CN"/>
              </w:rPr>
            </w:pPr>
            <w:r>
              <w:rPr>
                <w:rFonts w:hint="eastAsia" w:ascii="宋体" w:hAnsi="宋体" w:cs="Times New Roman"/>
                <w:b/>
                <w:bCs/>
                <w:sz w:val="21"/>
                <w:szCs w:val="21"/>
                <w:lang w:val="en-US" w:eastAsia="zh-CN"/>
              </w:rPr>
              <w:t>7.4/</w:t>
            </w:r>
          </w:p>
          <w:p>
            <w:pPr>
              <w:rPr>
                <w:rFonts w:hint="default" w:ascii="宋体" w:hAnsi="宋体" w:eastAsia="宋体" w:cs="Times New Roman"/>
                <w:b/>
                <w:bCs/>
                <w:sz w:val="21"/>
                <w:szCs w:val="21"/>
                <w:lang w:val="en-US" w:eastAsia="zh-CN"/>
              </w:rPr>
            </w:pPr>
            <w:r>
              <w:rPr>
                <w:rFonts w:hint="eastAsia" w:ascii="宋体" w:hAnsi="宋体" w:cs="Times New Roman"/>
                <w:b/>
                <w:bCs/>
                <w:sz w:val="21"/>
                <w:szCs w:val="21"/>
                <w:lang w:val="en-US" w:eastAsia="zh-CN"/>
              </w:rPr>
              <w:t>9.1.1</w:t>
            </w:r>
          </w:p>
        </w:tc>
        <w:tc>
          <w:tcPr>
            <w:tcW w:w="10004" w:type="dxa"/>
          </w:tcPr>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hint="eastAsia" w:ascii="Times New Roman" w:hAnsi="Times New Roman" w:cs="Times New Roman"/>
                <w:szCs w:val="22"/>
                <w:lang w:val="en-US" w:eastAsia="zh-CN"/>
              </w:rPr>
            </w:pPr>
            <w:r>
              <w:rPr>
                <w:rFonts w:hint="eastAsia" w:ascii="Times New Roman" w:hAnsi="Times New Roman" w:cs="Times New Roman"/>
                <w:szCs w:val="22"/>
                <w:lang w:val="en-US" w:eastAsia="zh-CN"/>
              </w:rPr>
              <w:t>公司制定《信息交流控制程序》，确保与能源管理体系相关的内部和外部沟通，包括:传达的信息;什么时间沟通;与谁沟通；如何沟通;谁来沟通等。</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hint="eastAsia" w:ascii="Times New Roman" w:hAnsi="Times New Roman" w:cs="Times New Roman"/>
                <w:szCs w:val="22"/>
                <w:lang w:val="en-US" w:eastAsia="zh-CN"/>
              </w:rPr>
            </w:pPr>
            <w:r>
              <w:rPr>
                <w:rFonts w:hint="eastAsia" w:ascii="Times New Roman" w:hAnsi="Times New Roman" w:cs="Times New Roman"/>
                <w:szCs w:val="22"/>
                <w:lang w:val="en-US" w:eastAsia="zh-CN"/>
              </w:rPr>
              <w:t>在实施沟通过程时，确保所传达的信息与能源管理体系内所产生的信息一致、可靠。</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hint="default" w:ascii="Times New Roman" w:hAnsi="Times New Roman" w:cs="Times New Roman"/>
                <w:szCs w:val="22"/>
                <w:lang w:val="en-US" w:eastAsia="zh-CN"/>
              </w:rPr>
            </w:pPr>
            <w:r>
              <w:rPr>
                <w:rFonts w:hint="eastAsia" w:ascii="Times New Roman" w:hAnsi="Times New Roman" w:cs="Times New Roman"/>
                <w:szCs w:val="22"/>
                <w:lang w:val="en-US" w:eastAsia="zh-CN"/>
              </w:rPr>
              <w:t>确保沟通过程从事工作的人可以对能源管理体系和能源绩效提出评论或建议。保持建议改进的文件或记录。</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hint="eastAsia"/>
                <w:lang w:val="en-US" w:eastAsia="zh-CN"/>
              </w:rPr>
            </w:pPr>
            <w:r>
              <w:rPr>
                <w:rFonts w:hint="eastAsia"/>
                <w:lang w:val="en-US" w:eastAsia="zh-CN"/>
              </w:rPr>
              <w:t>交流内容：法律、法规对能源的要求，外部相关方的信息，有关能源方针、目标及管理方案，公司能源管理体系的监测、审核、管理评审的结果，公司的能源绩效及改进情况，及其他相关的信息均可作为交流的内容。</w:t>
            </w:r>
          </w:p>
          <w:p>
            <w:pPr>
              <w:pStyle w:val="14"/>
              <w:keepNext w:val="0"/>
              <w:keepLines w:val="0"/>
              <w:pageBreakBefore w:val="0"/>
              <w:widowControl w:val="0"/>
              <w:kinsoku/>
              <w:wordWrap/>
              <w:overflowPunct/>
              <w:topLinePunct w:val="0"/>
              <w:autoSpaceDE/>
              <w:autoSpaceDN/>
              <w:bidi w:val="0"/>
              <w:adjustRightInd/>
              <w:snapToGrid/>
              <w:spacing w:before="157" w:beforeLines="50" w:line="240" w:lineRule="auto"/>
              <w:textAlignment w:val="auto"/>
              <w:rPr>
                <w:rFonts w:hint="eastAsia" w:ascii="Times New Roman" w:hAnsi="Times New Roman" w:cs="Times New Roman"/>
                <w:bCs w:val="0"/>
                <w:spacing w:val="0"/>
                <w:kern w:val="2"/>
                <w:sz w:val="21"/>
                <w:szCs w:val="22"/>
                <w:lang w:val="en-US" w:eastAsia="zh-CN" w:bidi="ar-SA"/>
              </w:rPr>
            </w:pPr>
            <w:r>
              <w:rPr>
                <w:rFonts w:hint="eastAsia" w:ascii="Times New Roman" w:hAnsi="Times New Roman" w:eastAsia="宋体" w:cs="Times New Roman"/>
                <w:bCs w:val="0"/>
                <w:spacing w:val="0"/>
                <w:kern w:val="2"/>
                <w:sz w:val="21"/>
                <w:szCs w:val="22"/>
                <w:lang w:val="en-US" w:eastAsia="zh-CN" w:bidi="ar-SA"/>
              </w:rPr>
              <w:t>查看企业交流</w:t>
            </w:r>
            <w:r>
              <w:rPr>
                <w:rFonts w:hint="eastAsia" w:ascii="Times New Roman" w:hAnsi="Times New Roman" w:cs="Times New Roman"/>
                <w:bCs w:val="0"/>
                <w:spacing w:val="0"/>
                <w:kern w:val="2"/>
                <w:sz w:val="21"/>
                <w:szCs w:val="22"/>
                <w:lang w:val="en-US" w:eastAsia="zh-CN" w:bidi="ar-SA"/>
              </w:rPr>
              <w:t>信息内容包括：体系培训、告知相关方在采购能源和设备时对相关方的要求、关于体系认证内审员任命的决定、2021年内审、管理评审等内容。</w:t>
            </w:r>
            <w:r>
              <w:rPr>
                <w:rFonts w:hint="eastAsia" w:ascii="Times New Roman" w:hAnsi="Times New Roman" w:eastAsia="宋体" w:cs="Times New Roman"/>
                <w:bCs w:val="0"/>
                <w:spacing w:val="0"/>
                <w:kern w:val="2"/>
                <w:sz w:val="21"/>
                <w:szCs w:val="22"/>
                <w:lang w:val="en-US" w:eastAsia="zh-CN" w:bidi="ar-SA"/>
              </w:rPr>
              <w:t>企业</w:t>
            </w:r>
            <w:r>
              <w:rPr>
                <w:rFonts w:hint="eastAsia" w:ascii="Times New Roman" w:hAnsi="Times New Roman" w:cs="Times New Roman"/>
                <w:bCs w:val="0"/>
                <w:spacing w:val="0"/>
                <w:kern w:val="2"/>
                <w:sz w:val="21"/>
                <w:szCs w:val="22"/>
                <w:lang w:val="en-US" w:eastAsia="zh-CN" w:bidi="ar-SA"/>
              </w:rPr>
              <w:t>信息</w:t>
            </w:r>
            <w:r>
              <w:rPr>
                <w:rFonts w:hint="eastAsia" w:ascii="Times New Roman" w:hAnsi="Times New Roman" w:eastAsia="宋体" w:cs="Times New Roman"/>
                <w:bCs w:val="0"/>
                <w:spacing w:val="0"/>
                <w:kern w:val="2"/>
                <w:sz w:val="21"/>
                <w:szCs w:val="22"/>
                <w:lang w:val="en-US" w:eastAsia="zh-CN" w:bidi="ar-SA"/>
              </w:rPr>
              <w:t>沟通有记录</w:t>
            </w:r>
            <w:r>
              <w:rPr>
                <w:rFonts w:hint="eastAsia" w:ascii="Times New Roman" w:hAnsi="Times New Roman" w:cs="Times New Roman"/>
                <w:bCs w:val="0"/>
                <w:spacing w:val="0"/>
                <w:kern w:val="2"/>
                <w:sz w:val="21"/>
                <w:szCs w:val="22"/>
                <w:lang w:val="en-US" w:eastAsia="zh-CN" w:bidi="ar-SA"/>
              </w:rPr>
              <w:t>。</w:t>
            </w:r>
          </w:p>
          <w:p>
            <w:pPr>
              <w:keepNext w:val="0"/>
              <w:keepLines w:val="0"/>
              <w:pageBreakBefore w:val="0"/>
              <w:widowControl w:val="0"/>
              <w:kinsoku/>
              <w:wordWrap/>
              <w:overflowPunct/>
              <w:topLinePunct w:val="0"/>
              <w:autoSpaceDE/>
              <w:autoSpaceDN/>
              <w:bidi w:val="0"/>
              <w:adjustRightInd/>
              <w:snapToGrid/>
              <w:spacing w:before="157" w:beforeLines="50" w:line="240" w:lineRule="auto"/>
              <w:jc w:val="both"/>
              <w:textAlignment w:val="auto"/>
              <w:rPr>
                <w:rFonts w:hint="default"/>
                <w:lang w:val="en-US" w:eastAsia="zh-CN"/>
              </w:rPr>
            </w:pPr>
            <w:r>
              <w:rPr>
                <w:rFonts w:hint="eastAsia" w:ascii="Times New Roman" w:hAnsi="Times New Roman" w:eastAsia="宋体" w:cs="Times New Roman"/>
                <w:bCs w:val="0"/>
                <w:spacing w:val="0"/>
                <w:kern w:val="2"/>
                <w:sz w:val="21"/>
                <w:szCs w:val="22"/>
                <w:lang w:val="en-US" w:eastAsia="zh-CN" w:bidi="ar-SA"/>
              </w:rPr>
              <w:t>提供</w:t>
            </w:r>
            <w:r>
              <w:rPr>
                <w:rFonts w:hint="eastAsia" w:ascii="Times New Roman" w:hAnsi="Times New Roman" w:eastAsia="宋体" w:cs="Times New Roman"/>
                <w:bCs w:val="0"/>
                <w:spacing w:val="0"/>
                <w:kern w:val="2"/>
                <w:sz w:val="21"/>
                <w:szCs w:val="22"/>
                <w:lang w:val="en-US" w:eastAsia="zh-CN" w:bidi="ar-SA"/>
              </w:rPr>
              <w:t>公司</w:t>
            </w:r>
            <w:r>
              <w:rPr>
                <w:rFonts w:hint="eastAsia" w:ascii="Times New Roman" w:hAnsi="Times New Roman" w:eastAsia="宋体" w:cs="Times New Roman"/>
                <w:bCs w:val="0"/>
                <w:spacing w:val="0"/>
                <w:kern w:val="2"/>
                <w:sz w:val="21"/>
                <w:szCs w:val="22"/>
                <w:lang w:val="en-US" w:eastAsia="zh-CN" w:bidi="ar-SA"/>
              </w:rPr>
              <w:t>对</w:t>
            </w:r>
            <w:r>
              <w:rPr>
                <w:rFonts w:hint="eastAsia" w:cs="Times New Roman"/>
                <w:bCs w:val="0"/>
                <w:spacing w:val="0"/>
                <w:kern w:val="2"/>
                <w:sz w:val="21"/>
                <w:szCs w:val="22"/>
                <w:lang w:val="en-US" w:eastAsia="zh-CN" w:bidi="ar-SA"/>
              </w:rPr>
              <w:t>后勤、</w:t>
            </w:r>
            <w:r>
              <w:rPr>
                <w:rFonts w:hint="eastAsia" w:ascii="Times New Roman" w:hAnsi="Times New Roman" w:eastAsia="宋体" w:cs="Times New Roman"/>
                <w:bCs w:val="0"/>
                <w:spacing w:val="0"/>
                <w:kern w:val="2"/>
                <w:sz w:val="21"/>
                <w:szCs w:val="22"/>
                <w:lang w:val="en-US" w:eastAsia="zh-CN" w:bidi="ar-SA"/>
              </w:rPr>
              <w:t>食堂</w:t>
            </w:r>
            <w:r>
              <w:rPr>
                <w:rFonts w:hint="eastAsia" w:cs="Times New Roman"/>
                <w:bCs w:val="0"/>
                <w:spacing w:val="0"/>
                <w:kern w:val="2"/>
                <w:sz w:val="21"/>
                <w:szCs w:val="22"/>
                <w:lang w:val="en-US" w:eastAsia="zh-CN" w:bidi="ar-SA"/>
              </w:rPr>
              <w:t>、公寓等</w:t>
            </w:r>
            <w:r>
              <w:rPr>
                <w:rFonts w:hint="eastAsia" w:ascii="Times New Roman" w:hAnsi="Times New Roman" w:eastAsia="宋体" w:cs="Times New Roman"/>
                <w:bCs w:val="0"/>
                <w:spacing w:val="0"/>
                <w:kern w:val="2"/>
                <w:sz w:val="21"/>
                <w:szCs w:val="22"/>
                <w:lang w:val="en-US" w:eastAsia="zh-CN" w:bidi="ar-SA"/>
              </w:rPr>
              <w:t>进行</w:t>
            </w:r>
            <w:r>
              <w:rPr>
                <w:rFonts w:hint="eastAsia" w:cs="Times New Roman"/>
                <w:bCs w:val="0"/>
                <w:spacing w:val="0"/>
                <w:kern w:val="2"/>
                <w:sz w:val="21"/>
                <w:szCs w:val="22"/>
                <w:lang w:val="en-US" w:eastAsia="zh-CN" w:bidi="ar-SA"/>
              </w:rPr>
              <w:t>检查的</w:t>
            </w:r>
            <w:r>
              <w:rPr>
                <w:rFonts w:hint="eastAsia" w:ascii="Times New Roman" w:hAnsi="Times New Roman" w:eastAsia="宋体" w:cs="Times New Roman"/>
                <w:bCs w:val="0"/>
                <w:spacing w:val="0"/>
                <w:kern w:val="2"/>
                <w:sz w:val="21"/>
                <w:szCs w:val="22"/>
                <w:lang w:val="en-US" w:eastAsia="zh-CN" w:bidi="ar-SA"/>
              </w:rPr>
              <w:t>记录，提供监督</w:t>
            </w:r>
            <w:r>
              <w:rPr>
                <w:rFonts w:hint="eastAsia" w:ascii="Times New Roman" w:hAnsi="Times New Roman" w:eastAsia="宋体" w:cs="Times New Roman"/>
                <w:szCs w:val="22"/>
                <w:lang w:val="en-US" w:eastAsia="zh-CN"/>
              </w:rPr>
              <w:t>检查统计表，有节约用水节约用电等检查内容、有考核情况。</w:t>
            </w:r>
          </w:p>
        </w:tc>
        <w:tc>
          <w:tcPr>
            <w:tcW w:w="1585" w:type="dxa"/>
          </w:tcPr>
          <w:p>
            <w:pPr>
              <w:rPr>
                <w:rFonts w:hint="default"/>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2160" w:type="dxa"/>
          </w:tcPr>
          <w:p>
            <w:pPr>
              <w:rPr>
                <w:rFonts w:hint="eastAsia" w:ascii="宋体" w:hAnsi="宋体" w:eastAsia="宋体" w:cs="Times New Roman"/>
                <w:b/>
                <w:bCs/>
                <w:sz w:val="21"/>
                <w:szCs w:val="21"/>
                <w:lang w:val="en-US" w:eastAsia="zh-CN"/>
              </w:rPr>
            </w:pPr>
            <w:r>
              <w:rPr>
                <w:rFonts w:hint="eastAsia" w:ascii="宋体" w:hAnsi="宋体" w:eastAsia="宋体" w:cs="Times New Roman"/>
                <w:b/>
                <w:bCs/>
                <w:sz w:val="21"/>
                <w:szCs w:val="21"/>
                <w:lang w:val="en-US" w:eastAsia="zh-CN"/>
              </w:rPr>
              <w:t>成文信息</w:t>
            </w:r>
          </w:p>
        </w:tc>
        <w:tc>
          <w:tcPr>
            <w:tcW w:w="960" w:type="dxa"/>
          </w:tcPr>
          <w:p>
            <w:pPr>
              <w:rPr>
                <w:rFonts w:hint="default" w:ascii="宋体" w:hAnsi="宋体" w:cs="Times New Roman"/>
                <w:b/>
                <w:bCs/>
                <w:sz w:val="21"/>
                <w:szCs w:val="21"/>
                <w:lang w:val="en-US" w:eastAsia="zh-CN"/>
              </w:rPr>
            </w:pPr>
            <w:r>
              <w:rPr>
                <w:rFonts w:hint="eastAsia" w:ascii="宋体" w:hAnsi="宋体" w:cs="Times New Roman"/>
                <w:b/>
                <w:bCs/>
                <w:sz w:val="21"/>
                <w:szCs w:val="21"/>
                <w:lang w:val="en-US" w:eastAsia="zh-CN"/>
              </w:rPr>
              <w:t>7.5</w:t>
            </w:r>
          </w:p>
        </w:tc>
        <w:tc>
          <w:tcPr>
            <w:tcW w:w="10004" w:type="dxa"/>
          </w:tcPr>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hint="eastAsia"/>
                <w:lang w:val="en-US" w:eastAsia="zh-CN"/>
              </w:rPr>
            </w:pPr>
            <w:r>
              <w:rPr>
                <w:rFonts w:hint="eastAsia"/>
                <w:lang w:val="en-US" w:eastAsia="zh-CN"/>
              </w:rPr>
              <w:t>公司编制了《文件化信息控制程序》及《记录控制程序》。</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hint="eastAsia"/>
                <w:lang w:val="en-US" w:eastAsia="zh-CN"/>
              </w:rPr>
            </w:pPr>
            <w:r>
              <w:rPr>
                <w:rFonts w:hint="eastAsia"/>
                <w:lang w:val="en-US" w:eastAsia="zh-CN"/>
              </w:rPr>
              <w:t>能源管理体系的文件化信息包括：一体化管理手册1份、相关程序文件22个，相关管理制度22个，记录清单若干个，形成了公司的文件化信息系统，规定了公司各类文件和资料的发放范围和控制方法，确保能源管理体系在各个场所都能得到相应文件的有效版本，防止误用。</w:t>
            </w:r>
          </w:p>
          <w:p>
            <w:pPr>
              <w:pStyle w:val="14"/>
              <w:keepNext w:val="0"/>
              <w:keepLines w:val="0"/>
              <w:pageBreakBefore w:val="0"/>
              <w:widowControl w:val="0"/>
              <w:kinsoku/>
              <w:wordWrap/>
              <w:overflowPunct/>
              <w:topLinePunct w:val="0"/>
              <w:autoSpaceDE/>
              <w:autoSpaceDN/>
              <w:bidi w:val="0"/>
              <w:adjustRightInd/>
              <w:snapToGrid/>
              <w:spacing w:before="157" w:beforeLines="50" w:line="240" w:lineRule="auto"/>
              <w:textAlignment w:val="auto"/>
              <w:rPr>
                <w:rFonts w:hint="default"/>
                <w:lang w:val="en-US" w:eastAsia="zh-CN"/>
              </w:rPr>
            </w:pPr>
            <w:r>
              <w:rPr>
                <w:rFonts w:hint="eastAsia" w:ascii="Times New Roman" w:hAnsi="Times New Roman" w:cs="Times New Roman"/>
                <w:szCs w:val="22"/>
                <w:lang w:val="en-US" w:eastAsia="zh-CN"/>
              </w:rPr>
              <w:t>符合要求。</w:t>
            </w:r>
          </w:p>
        </w:tc>
        <w:tc>
          <w:tcPr>
            <w:tcW w:w="1585" w:type="dxa"/>
          </w:tcPr>
          <w:p>
            <w:pPr>
              <w:rPr>
                <w:rFonts w:hint="default"/>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rPr>
                <w:rFonts w:hint="eastAsia" w:ascii="宋体" w:hAnsi="宋体" w:eastAsia="宋体" w:cs="Times New Roman"/>
                <w:b/>
                <w:bCs/>
                <w:sz w:val="21"/>
                <w:szCs w:val="21"/>
                <w:lang w:val="en-US" w:eastAsia="zh-CN"/>
              </w:rPr>
            </w:pPr>
            <w:r>
              <w:rPr>
                <w:rFonts w:hint="eastAsia" w:ascii="宋体" w:hAnsi="宋体" w:eastAsia="宋体" w:cs="Times New Roman"/>
                <w:b/>
                <w:bCs/>
                <w:sz w:val="21"/>
                <w:szCs w:val="21"/>
                <w:lang w:val="en-US" w:eastAsia="zh-CN"/>
              </w:rPr>
              <w:t>能力意识</w:t>
            </w:r>
          </w:p>
        </w:tc>
        <w:tc>
          <w:tcPr>
            <w:tcW w:w="960" w:type="dxa"/>
          </w:tcPr>
          <w:p>
            <w:pPr>
              <w:rPr>
                <w:rFonts w:hint="default" w:ascii="宋体" w:hAnsi="宋体" w:cs="Times New Roman"/>
                <w:b/>
                <w:bCs/>
                <w:sz w:val="21"/>
                <w:szCs w:val="21"/>
                <w:lang w:val="en-US" w:eastAsia="zh-CN"/>
              </w:rPr>
            </w:pPr>
            <w:r>
              <w:rPr>
                <w:rFonts w:hint="eastAsia" w:ascii="宋体" w:hAnsi="宋体" w:cs="Times New Roman"/>
                <w:b/>
                <w:bCs/>
                <w:sz w:val="21"/>
                <w:szCs w:val="21"/>
                <w:lang w:val="en-US" w:eastAsia="zh-CN"/>
              </w:rPr>
              <w:t>7.2/7.3</w:t>
            </w:r>
          </w:p>
        </w:tc>
        <w:tc>
          <w:tcPr>
            <w:tcW w:w="10004" w:type="dxa"/>
          </w:tcPr>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hint="eastAsia"/>
                <w:lang w:val="en-US" w:eastAsia="zh-CN"/>
              </w:rPr>
            </w:pPr>
            <w:r>
              <w:rPr>
                <w:rFonts w:hint="eastAsia"/>
                <w:lang w:val="en-US" w:eastAsia="zh-CN"/>
              </w:rPr>
              <w:t>公司制定了《人力资源控制程序》确定了：从事影响其能源性能和环境管理系统的工作的人的必要能力。根据适当的教育、培训、技能或经验，确保这些人能够胜任工作;在适用的情况下，采取行动获得必要的能力，并评估所采取行动的有效性；保持记录信息作为证据的能力。</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hint="default"/>
                <w:lang w:val="en-US" w:eastAsia="zh-CN"/>
              </w:rPr>
            </w:pPr>
            <w:r>
              <w:rPr>
                <w:rFonts w:hint="eastAsia"/>
                <w:lang w:val="en-US" w:eastAsia="zh-CN"/>
              </w:rPr>
              <w:t>强调公司控制下从事工作的人员要清楚：能源方针、实现目标和能源目标和提高能效的好处、其活动或行为对能源绩效的影响、不符合能源管理体系要求的影响。</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hint="eastAsia"/>
                <w:lang w:val="en-US" w:eastAsia="zh-CN"/>
              </w:rPr>
            </w:pPr>
            <w:r>
              <w:rPr>
                <w:rFonts w:hint="eastAsia"/>
                <w:lang w:val="en-US" w:eastAsia="zh-CN"/>
              </w:rPr>
              <w:t>企业培训情况</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hint="default"/>
                <w:lang w:val="en-US" w:eastAsia="zh-CN"/>
              </w:rPr>
            </w:pPr>
            <w:r>
              <w:rPr>
                <w:rFonts w:hint="eastAsia"/>
                <w:lang w:val="en-US" w:eastAsia="zh-CN"/>
              </w:rPr>
              <w:t>提供福建省联丰盛漂染植绒有限公司能源管理2021年培训计划，共三项包括：能源管理体系标准培训、能源管理体系文件培训、能源管理体系内审员。</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hint="eastAsia"/>
                <w:lang w:val="en-US" w:eastAsia="zh-CN"/>
              </w:rPr>
            </w:pPr>
            <w:r>
              <w:rPr>
                <w:rFonts w:hint="eastAsia"/>
                <w:lang w:val="en-US" w:eastAsia="zh-CN"/>
              </w:rPr>
              <w:t>提供了4月28日行政部组织的能源管理体系标准培训，培训对象公司领导、各部门领导、能源管理员、统计员及相关人员，参加人员：洪文富、吴天宝、陈亚国、王高攀、郭邵华、陈武等，有培训效果评审等内容；</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hint="eastAsia"/>
                <w:lang w:val="en-US" w:eastAsia="zh-CN"/>
              </w:rPr>
            </w:pPr>
            <w:r>
              <w:rPr>
                <w:rFonts w:hint="eastAsia"/>
                <w:lang w:val="en-US" w:eastAsia="zh-CN"/>
              </w:rPr>
              <w:t>提供了5月18日行政部组织的能源管理体系文件培训，培训对象全体人员，参加人员：洪文富、吴天宝、陈亚国、郭邵华、陈武等，有培训效果评审等内容；</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hint="eastAsia"/>
                <w:szCs w:val="22"/>
                <w:lang w:val="en-US" w:eastAsia="zh-CN"/>
              </w:rPr>
            </w:pPr>
            <w:r>
              <w:rPr>
                <w:rFonts w:hint="eastAsia"/>
                <w:szCs w:val="22"/>
                <w:lang w:val="en-US" w:eastAsia="zh-CN"/>
              </w:rPr>
              <w:t>提供了10月6日行政部组织的能源管理体系内审员，培训对象内审员、统计员及相关人员，参加人员：陈亚国、郭邵华、吴天宝等，有培训效果评审等内容；</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hint="default"/>
                <w:lang w:val="en-US" w:eastAsia="zh-CN"/>
              </w:rPr>
            </w:pPr>
            <w:r>
              <w:rPr>
                <w:rFonts w:hint="eastAsia"/>
                <w:szCs w:val="22"/>
                <w:lang w:val="en-US" w:eastAsia="zh-CN"/>
              </w:rPr>
              <w:t>符合要求</w:t>
            </w:r>
            <w:r>
              <w:rPr>
                <w:rFonts w:hint="eastAsia" w:eastAsia="宋体"/>
                <w:szCs w:val="22"/>
                <w:lang w:val="en-US" w:eastAsia="zh-CN"/>
              </w:rPr>
              <w:t>。</w:t>
            </w:r>
          </w:p>
        </w:tc>
        <w:tc>
          <w:tcPr>
            <w:tcW w:w="1585" w:type="dxa"/>
          </w:tcPr>
          <w:p>
            <w:pPr>
              <w:rPr>
                <w:rFonts w:hint="default"/>
                <w:lang w:val="en-US" w:eastAsia="zh-CN"/>
              </w:rPr>
            </w:pPr>
            <w:r>
              <w:rPr>
                <w:rFonts w:hint="eastAsia"/>
                <w:lang w:val="en-US" w:eastAsia="zh-CN"/>
              </w:rPr>
              <w:t>y</w:t>
            </w: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2160" w:type="dxa"/>
          </w:tcPr>
          <w:p>
            <w:pPr>
              <w:rPr>
                <w:rFonts w:hint="eastAsia" w:ascii="宋体" w:hAnsi="宋体" w:eastAsia="宋体" w:cs="Times New Roman"/>
                <w:b/>
                <w:bCs/>
                <w:sz w:val="21"/>
                <w:szCs w:val="21"/>
                <w:lang w:val="en-US" w:eastAsia="zh-CN"/>
              </w:rPr>
            </w:pPr>
            <w:r>
              <w:rPr>
                <w:rFonts w:hint="eastAsia" w:ascii="宋体" w:hAnsi="宋体" w:eastAsia="宋体" w:cs="Times New Roman"/>
                <w:b/>
                <w:bCs/>
                <w:sz w:val="21"/>
                <w:szCs w:val="21"/>
                <w:lang w:val="en-US" w:eastAsia="zh-CN"/>
              </w:rPr>
              <w:t>综合管理部</w:t>
            </w:r>
            <w:r>
              <w:rPr>
                <w:rFonts w:hint="eastAsia" w:ascii="宋体" w:hAnsi="宋体" w:eastAsia="宋体" w:cs="Times New Roman"/>
                <w:b/>
                <w:bCs/>
                <w:sz w:val="21"/>
                <w:szCs w:val="21"/>
              </w:rPr>
              <w:t>有关的管理体系控制及运行活动</w:t>
            </w:r>
          </w:p>
        </w:tc>
        <w:tc>
          <w:tcPr>
            <w:tcW w:w="960" w:type="dxa"/>
          </w:tcPr>
          <w:p>
            <w:pPr>
              <w:rPr>
                <w:rFonts w:hint="default" w:ascii="宋体" w:hAnsi="宋体" w:cs="Times New Roman"/>
                <w:b/>
                <w:bCs/>
                <w:sz w:val="21"/>
                <w:szCs w:val="21"/>
                <w:lang w:val="en-US" w:eastAsia="zh-CN"/>
              </w:rPr>
            </w:pPr>
            <w:r>
              <w:rPr>
                <w:rFonts w:hint="eastAsia" w:ascii="宋体" w:hAnsi="宋体" w:cs="Times New Roman"/>
                <w:b/>
                <w:bCs/>
                <w:sz w:val="21"/>
                <w:szCs w:val="21"/>
                <w:lang w:val="en-US" w:eastAsia="zh-CN"/>
              </w:rPr>
              <w:t>8.1</w:t>
            </w:r>
          </w:p>
        </w:tc>
        <w:tc>
          <w:tcPr>
            <w:tcW w:w="10004" w:type="dxa"/>
          </w:tcPr>
          <w:p>
            <w:pPr>
              <w:keepNext w:val="0"/>
              <w:keepLines w:val="0"/>
              <w:pageBreakBefore w:val="0"/>
              <w:widowControl w:val="0"/>
              <w:kinsoku/>
              <w:wordWrap/>
              <w:overflowPunct/>
              <w:topLinePunct w:val="0"/>
              <w:autoSpaceDE/>
              <w:autoSpaceDN/>
              <w:bidi w:val="0"/>
              <w:adjustRightInd/>
              <w:snapToGrid/>
              <w:spacing w:before="120" w:after="0" w:line="240" w:lineRule="auto"/>
              <w:textAlignment w:val="auto"/>
              <w:rPr>
                <w:lang w:val="en-GB"/>
              </w:rPr>
            </w:pPr>
            <w:r>
              <w:rPr>
                <w:rFonts w:hint="eastAsia"/>
                <w:lang w:val="en-US" w:eastAsia="zh-CN"/>
              </w:rPr>
              <w:t>行政部根据部门职责开展工作，公司的行政管理过程中</w:t>
            </w:r>
            <w:r>
              <w:rPr>
                <w:rFonts w:hint="eastAsia"/>
              </w:rPr>
              <w:t>节能降耗管理、消防安全管理制度、</w:t>
            </w:r>
            <w:r>
              <w:rPr>
                <w:rFonts w:hint="eastAsia"/>
                <w:lang w:val="en-GB"/>
              </w:rPr>
              <w:t>办公室安全</w:t>
            </w:r>
            <w:r>
              <w:rPr>
                <w:rFonts w:hint="eastAsia"/>
                <w:lang w:val="en-US" w:eastAsia="zh-CN"/>
              </w:rPr>
              <w:t>管理</w:t>
            </w:r>
            <w:r>
              <w:rPr>
                <w:rFonts w:hint="eastAsia"/>
                <w:lang w:val="en-GB"/>
              </w:rPr>
              <w:t>、车辆管理、</w:t>
            </w:r>
            <w:r>
              <w:rPr>
                <w:rFonts w:hint="eastAsia"/>
                <w:lang w:val="en-US" w:eastAsia="zh-CN"/>
              </w:rPr>
              <w:t>制度管理、</w:t>
            </w:r>
            <w:r>
              <w:rPr>
                <w:rFonts w:hint="eastAsia"/>
                <w:lang w:val="en-GB"/>
              </w:rPr>
              <w:t>电脑使用管理办法</w:t>
            </w:r>
            <w:r>
              <w:rPr>
                <w:rFonts w:hint="eastAsia"/>
              </w:rPr>
              <w:t>等。</w:t>
            </w:r>
          </w:p>
          <w:p>
            <w:pPr>
              <w:keepNext w:val="0"/>
              <w:keepLines w:val="0"/>
              <w:pageBreakBefore w:val="0"/>
              <w:widowControl w:val="0"/>
              <w:kinsoku/>
              <w:wordWrap/>
              <w:overflowPunct/>
              <w:topLinePunct w:val="0"/>
              <w:autoSpaceDE/>
              <w:autoSpaceDN/>
              <w:bidi w:val="0"/>
              <w:adjustRightInd/>
              <w:snapToGrid/>
              <w:spacing w:before="120" w:after="0" w:line="240" w:lineRule="auto"/>
              <w:textAlignment w:val="auto"/>
              <w:rPr>
                <w:lang w:val="en-GB"/>
              </w:rPr>
            </w:pPr>
            <w:r>
              <w:rPr>
                <w:rFonts w:hint="eastAsia"/>
                <w:lang w:val="en-GB"/>
              </w:rPr>
              <w:t>运行控制情况：办公过程注意节约用电，做到人走灯灭，电脑长时间不用时关机，下班前要关闭电源；</w:t>
            </w:r>
          </w:p>
          <w:p>
            <w:pPr>
              <w:keepNext w:val="0"/>
              <w:keepLines w:val="0"/>
              <w:pageBreakBefore w:val="0"/>
              <w:widowControl w:val="0"/>
              <w:kinsoku/>
              <w:wordWrap/>
              <w:overflowPunct/>
              <w:topLinePunct w:val="0"/>
              <w:autoSpaceDE/>
              <w:autoSpaceDN/>
              <w:bidi w:val="0"/>
              <w:adjustRightInd/>
              <w:snapToGrid/>
              <w:spacing w:before="120" w:after="0" w:line="240" w:lineRule="auto"/>
              <w:textAlignment w:val="auto"/>
              <w:rPr>
                <w:lang w:val="en-GB"/>
              </w:rPr>
            </w:pPr>
            <w:r>
              <w:rPr>
                <w:rFonts w:hint="eastAsia"/>
              </w:rPr>
              <w:t>办公过程使用的电器如：空调、电脑、灯具均符合安全</w:t>
            </w:r>
            <w:r>
              <w:rPr>
                <w:rFonts w:hint="eastAsia"/>
                <w:lang w:val="en-US" w:eastAsia="zh-CN"/>
              </w:rPr>
              <w:t>和节能</w:t>
            </w:r>
            <w:r>
              <w:rPr>
                <w:rFonts w:hint="eastAsia"/>
              </w:rPr>
              <w:t>要求；</w:t>
            </w:r>
          </w:p>
          <w:p>
            <w:pPr>
              <w:keepNext w:val="0"/>
              <w:keepLines w:val="0"/>
              <w:pageBreakBefore w:val="0"/>
              <w:widowControl w:val="0"/>
              <w:kinsoku/>
              <w:wordWrap/>
              <w:overflowPunct/>
              <w:topLinePunct w:val="0"/>
              <w:autoSpaceDE/>
              <w:autoSpaceDN/>
              <w:bidi w:val="0"/>
              <w:adjustRightInd/>
              <w:snapToGrid/>
              <w:spacing w:before="120" w:after="0" w:line="240" w:lineRule="auto"/>
              <w:textAlignment w:val="auto"/>
              <w:rPr>
                <w:rFonts w:hint="eastAsia"/>
              </w:rPr>
            </w:pPr>
            <w:r>
              <w:rPr>
                <w:rFonts w:hint="eastAsia"/>
                <w:lang w:val="en-US" w:eastAsia="zh-CN"/>
              </w:rPr>
              <w:t>提供</w:t>
            </w:r>
            <w:r>
              <w:rPr>
                <w:rFonts w:hint="eastAsia"/>
                <w:lang w:eastAsia="zh-CN"/>
              </w:rPr>
              <w:t>“</w:t>
            </w:r>
            <w:r>
              <w:rPr>
                <w:rFonts w:hint="eastAsia"/>
                <w:lang w:val="en-US" w:eastAsia="zh-CN"/>
              </w:rPr>
              <w:t>监督检查统计表</w:t>
            </w:r>
            <w:r>
              <w:rPr>
                <w:rFonts w:hint="eastAsia"/>
                <w:lang w:eastAsia="zh-CN"/>
              </w:rPr>
              <w:t>”</w:t>
            </w:r>
            <w:r>
              <w:rPr>
                <w:rFonts w:hint="eastAsia"/>
                <w:lang w:val="en-GB"/>
              </w:rPr>
              <w:t>，</w:t>
            </w:r>
            <w:r>
              <w:rPr>
                <w:rFonts w:hint="eastAsia"/>
                <w:lang w:val="en-US" w:eastAsia="zh-CN"/>
              </w:rPr>
              <w:t>包括：部门、检查内容、检查结果等，行政部每月进行检查并</w:t>
            </w:r>
            <w:r>
              <w:rPr>
                <w:rFonts w:hint="eastAsia"/>
                <w:lang w:val="en-GB"/>
              </w:rPr>
              <w:t>统计分析</w:t>
            </w:r>
            <w:r>
              <w:rPr>
                <w:rFonts w:hint="eastAsia"/>
                <w:lang w:val="en-GB" w:eastAsia="zh-CN"/>
              </w:rPr>
              <w:t>、</w:t>
            </w:r>
            <w:r>
              <w:rPr>
                <w:rFonts w:hint="eastAsia"/>
                <w:lang w:val="en-US" w:eastAsia="zh-CN"/>
              </w:rPr>
              <w:t>考核</w:t>
            </w:r>
            <w:r>
              <w:rPr>
                <w:rFonts w:hint="eastAsia"/>
                <w:lang w:val="en-GB"/>
              </w:rPr>
              <w:t>，查</w:t>
            </w:r>
            <w:r>
              <w:t>20</w:t>
            </w:r>
            <w:r>
              <w:rPr>
                <w:rFonts w:hint="eastAsia"/>
                <w:lang w:val="en-US" w:eastAsia="zh-CN"/>
              </w:rPr>
              <w:t>21</w:t>
            </w:r>
            <w:r>
              <w:rPr>
                <w:rFonts w:hint="eastAsia"/>
              </w:rPr>
              <w:t>.</w:t>
            </w:r>
            <w:r>
              <w:rPr>
                <w:rFonts w:hint="eastAsia"/>
                <w:lang w:val="en-US" w:eastAsia="zh-CN"/>
              </w:rPr>
              <w:t>1</w:t>
            </w:r>
            <w:r>
              <w:t>-20</w:t>
            </w:r>
            <w:r>
              <w:rPr>
                <w:rFonts w:hint="eastAsia"/>
                <w:lang w:val="en-US" w:eastAsia="zh-CN"/>
              </w:rPr>
              <w:t>21</w:t>
            </w:r>
            <w:r>
              <w:t>.</w:t>
            </w:r>
            <w:r>
              <w:rPr>
                <w:rFonts w:hint="eastAsia"/>
                <w:lang w:val="en-US" w:eastAsia="zh-CN"/>
              </w:rPr>
              <w:t>9</w:t>
            </w:r>
            <w:r>
              <w:rPr>
                <w:rFonts w:hint="eastAsia"/>
              </w:rPr>
              <w:t>检查记录，各部门运行情况良好。</w:t>
            </w:r>
          </w:p>
          <w:p>
            <w:pPr>
              <w:keepNext w:val="0"/>
              <w:keepLines w:val="0"/>
              <w:pageBreakBefore w:val="0"/>
              <w:widowControl w:val="0"/>
              <w:kinsoku/>
              <w:wordWrap/>
              <w:overflowPunct/>
              <w:topLinePunct w:val="0"/>
              <w:autoSpaceDE/>
              <w:autoSpaceDN/>
              <w:bidi w:val="0"/>
              <w:adjustRightInd/>
              <w:snapToGrid/>
              <w:spacing w:before="120" w:after="0" w:line="240" w:lineRule="auto"/>
              <w:textAlignment w:val="auto"/>
            </w:pPr>
            <w:r>
              <w:rPr>
                <w:rFonts w:hint="eastAsia"/>
              </w:rPr>
              <w:t>检查人：</w:t>
            </w:r>
            <w:r>
              <w:rPr>
                <w:rFonts w:hint="eastAsia"/>
                <w:lang w:val="en-US" w:eastAsia="zh-CN"/>
              </w:rPr>
              <w:t>郭绍华、吴天宝、陈亚国，检查结果进行责任制考核</w:t>
            </w:r>
            <w:r>
              <w:rPr>
                <w:rFonts w:hint="eastAsia"/>
              </w:rPr>
              <w:t>。</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hint="eastAsia"/>
                <w:lang w:val="en-US" w:eastAsia="zh-CN"/>
              </w:rPr>
            </w:pPr>
            <w:r>
              <w:rPr>
                <w:rFonts w:hint="eastAsia"/>
              </w:rPr>
              <w:t>经查，符合要求。</w:t>
            </w:r>
          </w:p>
        </w:tc>
        <w:tc>
          <w:tcPr>
            <w:tcW w:w="1585" w:type="dxa"/>
          </w:tcPr>
          <w:p>
            <w:pPr>
              <w:rPr>
                <w:rFonts w:hint="default"/>
                <w:lang w:val="en-US" w:eastAsia="zh-CN"/>
              </w:rPr>
            </w:pPr>
            <w:r>
              <w:rPr>
                <w:rFonts w:hint="eastAsia"/>
                <w:lang w:val="en-US" w:eastAsia="zh-CN"/>
              </w:rPr>
              <w:t>y</w:t>
            </w:r>
          </w:p>
          <w:p>
            <w:pPr>
              <w:pStyle w:val="14"/>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2160" w:type="dxa"/>
          </w:tcPr>
          <w:p>
            <w:pPr>
              <w:rPr>
                <w:rFonts w:hint="default" w:ascii="宋体" w:hAnsi="宋体" w:eastAsia="宋体" w:cs="Times New Roman"/>
                <w:b/>
                <w:bCs/>
                <w:sz w:val="21"/>
                <w:szCs w:val="21"/>
                <w:lang w:val="en-US" w:eastAsia="zh-CN"/>
              </w:rPr>
            </w:pPr>
            <w:r>
              <w:rPr>
                <w:rFonts w:hint="eastAsia" w:ascii="宋体" w:hAnsi="宋体" w:cs="Times New Roman"/>
                <w:b/>
                <w:bCs/>
                <w:sz w:val="21"/>
                <w:szCs w:val="21"/>
                <w:lang w:val="en-US" w:eastAsia="zh-CN"/>
              </w:rPr>
              <w:t>法律法规及合规性评价</w:t>
            </w:r>
          </w:p>
        </w:tc>
        <w:tc>
          <w:tcPr>
            <w:tcW w:w="960" w:type="dxa"/>
          </w:tcPr>
          <w:p>
            <w:pPr>
              <w:rPr>
                <w:rFonts w:hint="default" w:ascii="宋体" w:hAnsi="宋体" w:cs="Times New Roman"/>
                <w:b/>
                <w:bCs/>
                <w:sz w:val="21"/>
                <w:szCs w:val="21"/>
                <w:lang w:val="en-US" w:eastAsia="zh-CN"/>
              </w:rPr>
            </w:pPr>
            <w:r>
              <w:rPr>
                <w:rFonts w:hint="eastAsia" w:ascii="宋体" w:hAnsi="宋体" w:cs="Times New Roman"/>
                <w:b/>
                <w:bCs/>
                <w:sz w:val="21"/>
                <w:szCs w:val="21"/>
                <w:lang w:val="en-US" w:eastAsia="zh-CN"/>
              </w:rPr>
              <w:t>4.2/9.1.2</w:t>
            </w:r>
          </w:p>
        </w:tc>
        <w:tc>
          <w:tcPr>
            <w:tcW w:w="10004" w:type="dxa"/>
          </w:tcPr>
          <w:p>
            <w:pPr>
              <w:pStyle w:val="14"/>
              <w:keepNext w:val="0"/>
              <w:keepLines w:val="0"/>
              <w:pageBreakBefore w:val="0"/>
              <w:widowControl w:val="0"/>
              <w:kinsoku/>
              <w:wordWrap/>
              <w:overflowPunct/>
              <w:topLinePunct w:val="0"/>
              <w:autoSpaceDE/>
              <w:autoSpaceDN/>
              <w:bidi w:val="0"/>
              <w:adjustRightInd/>
              <w:snapToGrid/>
              <w:spacing w:before="120" w:after="0" w:line="240" w:lineRule="auto"/>
              <w:textAlignment w:val="auto"/>
              <w:rPr>
                <w:rFonts w:hint="default" w:ascii="Times New Roman" w:hAnsi="Times New Roman" w:cs="Times New Roman"/>
                <w:bCs w:val="0"/>
                <w:spacing w:val="0"/>
                <w:kern w:val="2"/>
                <w:sz w:val="21"/>
                <w:szCs w:val="22"/>
                <w:lang w:val="en-US" w:eastAsia="zh-CN" w:bidi="ar-SA"/>
              </w:rPr>
            </w:pPr>
            <w:r>
              <w:rPr>
                <w:rFonts w:hint="eastAsia" w:ascii="Times New Roman" w:hAnsi="Times New Roman" w:cs="Times New Roman"/>
                <w:bCs w:val="0"/>
                <w:spacing w:val="0"/>
                <w:kern w:val="2"/>
                <w:sz w:val="21"/>
                <w:szCs w:val="22"/>
                <w:lang w:val="en-US" w:eastAsia="zh-CN" w:bidi="ar-SA"/>
              </w:rPr>
              <w:t>提供</w:t>
            </w:r>
            <w:r>
              <w:rPr>
                <w:rFonts w:hint="eastAsia" w:ascii="Times New Roman" w:hAnsi="Times New Roman" w:cs="Times New Roman"/>
                <w:bCs w:val="0"/>
                <w:spacing w:val="0"/>
                <w:kern w:val="2"/>
                <w:sz w:val="21"/>
                <w:szCs w:val="22"/>
                <w:highlight w:val="none"/>
                <w:lang w:val="en-US" w:eastAsia="zh-CN" w:bidi="ar-SA"/>
              </w:rPr>
              <w:t>2021年5月6日</w:t>
            </w:r>
            <w:r>
              <w:rPr>
                <w:rFonts w:hint="eastAsia" w:ascii="Times New Roman" w:hAnsi="Times New Roman" w:cs="Times New Roman"/>
                <w:bCs w:val="0"/>
                <w:spacing w:val="0"/>
                <w:kern w:val="2"/>
                <w:sz w:val="21"/>
                <w:szCs w:val="22"/>
                <w:lang w:val="en-US" w:eastAsia="zh-CN" w:bidi="ar-SA"/>
              </w:rPr>
              <w:t>企业组织的合规性评价报告及编制的《能源法律法规清单》识别</w:t>
            </w:r>
            <w:r>
              <w:rPr>
                <w:rFonts w:hint="eastAsia" w:cs="Times New Roman"/>
                <w:bCs w:val="0"/>
                <w:spacing w:val="0"/>
                <w:kern w:val="2"/>
                <w:sz w:val="21"/>
                <w:szCs w:val="22"/>
                <w:lang w:val="en-US" w:eastAsia="zh-CN" w:bidi="ar-SA"/>
              </w:rPr>
              <w:t>法律法规37项，相关标准</w:t>
            </w:r>
            <w:r>
              <w:rPr>
                <w:rFonts w:hint="eastAsia" w:cs="Times New Roman"/>
                <w:bCs w:val="0"/>
                <w:spacing w:val="0"/>
                <w:kern w:val="2"/>
                <w:sz w:val="21"/>
                <w:szCs w:val="22"/>
                <w:highlight w:val="none"/>
                <w:lang w:val="en-US" w:eastAsia="zh-CN" w:bidi="ar-SA"/>
              </w:rPr>
              <w:t>27</w:t>
            </w:r>
            <w:r>
              <w:rPr>
                <w:rFonts w:hint="eastAsia" w:ascii="Times New Roman" w:hAnsi="Times New Roman" w:cs="Times New Roman"/>
                <w:bCs w:val="0"/>
                <w:spacing w:val="0"/>
                <w:kern w:val="2"/>
                <w:sz w:val="21"/>
                <w:szCs w:val="22"/>
                <w:lang w:val="en-US" w:eastAsia="zh-CN" w:bidi="ar-SA"/>
              </w:rPr>
              <w:t>项；包括：中华人民共和国节约能源法、清洁生产法、计量法、GB/T23331-2020能源管理体系 要求及使用指南等</w:t>
            </w:r>
            <w:r>
              <w:rPr>
                <w:rFonts w:hint="eastAsia" w:cs="Times New Roman"/>
                <w:bCs w:val="0"/>
                <w:spacing w:val="0"/>
                <w:kern w:val="2"/>
                <w:sz w:val="21"/>
                <w:szCs w:val="22"/>
                <w:lang w:val="en-US" w:eastAsia="zh-CN" w:bidi="ar-SA"/>
              </w:rPr>
              <w:t>。</w:t>
            </w:r>
          </w:p>
          <w:p>
            <w:pPr>
              <w:keepNext w:val="0"/>
              <w:keepLines w:val="0"/>
              <w:pageBreakBefore w:val="0"/>
              <w:widowControl w:val="0"/>
              <w:kinsoku/>
              <w:wordWrap/>
              <w:overflowPunct/>
              <w:topLinePunct/>
              <w:autoSpaceDE/>
              <w:autoSpaceDN/>
              <w:bidi w:val="0"/>
              <w:adjustRightInd/>
              <w:snapToGrid/>
              <w:spacing w:before="120" w:after="0" w:line="240" w:lineRule="auto"/>
              <w:ind w:firstLine="420" w:firstLineChars="200"/>
              <w:textAlignment w:val="auto"/>
              <w:rPr>
                <w:rFonts w:hint="eastAsia" w:ascii="Times New Roman" w:hAnsi="Times New Roman" w:eastAsia="宋体" w:cs="Times New Roman"/>
                <w:bCs w:val="0"/>
                <w:spacing w:val="0"/>
                <w:kern w:val="2"/>
                <w:sz w:val="21"/>
                <w:szCs w:val="22"/>
                <w:lang w:val="en-US" w:eastAsia="zh-CN" w:bidi="ar-SA"/>
              </w:rPr>
            </w:pPr>
            <w:r>
              <w:rPr>
                <w:rFonts w:hint="eastAsia" w:ascii="Times New Roman" w:hAnsi="Times New Roman" w:eastAsia="宋体" w:cs="Times New Roman"/>
                <w:bCs w:val="0"/>
                <w:spacing w:val="0"/>
                <w:kern w:val="2"/>
                <w:sz w:val="21"/>
                <w:szCs w:val="22"/>
                <w:lang w:val="en-US" w:eastAsia="zh-CN" w:bidi="ar-SA"/>
              </w:rPr>
              <w:t>提供《能源管理体系法律、法规及其它要求合规性评价报告》对识别的</w:t>
            </w:r>
            <w:r>
              <w:rPr>
                <w:rFonts w:hint="eastAsia" w:cs="Times New Roman"/>
                <w:bCs w:val="0"/>
                <w:spacing w:val="0"/>
                <w:kern w:val="2"/>
                <w:sz w:val="21"/>
                <w:szCs w:val="22"/>
                <w:highlight w:val="none"/>
                <w:lang w:val="en-US" w:eastAsia="zh-CN" w:bidi="ar-SA"/>
              </w:rPr>
              <w:t>64</w:t>
            </w:r>
            <w:r>
              <w:rPr>
                <w:rFonts w:hint="eastAsia" w:ascii="Times New Roman" w:hAnsi="Times New Roman" w:eastAsia="宋体" w:cs="Times New Roman"/>
                <w:bCs w:val="0"/>
                <w:spacing w:val="0"/>
                <w:kern w:val="2"/>
                <w:sz w:val="21"/>
                <w:szCs w:val="22"/>
                <w:lang w:val="en-US" w:eastAsia="zh-CN" w:bidi="ar-SA"/>
              </w:rPr>
              <w:t>项法律法规</w:t>
            </w:r>
            <w:r>
              <w:rPr>
                <w:rFonts w:hint="eastAsia" w:cs="Times New Roman"/>
                <w:bCs w:val="0"/>
                <w:spacing w:val="0"/>
                <w:kern w:val="2"/>
                <w:sz w:val="21"/>
                <w:szCs w:val="22"/>
                <w:lang w:val="en-US" w:eastAsia="zh-CN" w:bidi="ar-SA"/>
              </w:rPr>
              <w:t>、标准</w:t>
            </w:r>
            <w:r>
              <w:rPr>
                <w:rFonts w:hint="eastAsia" w:ascii="Times New Roman" w:hAnsi="Times New Roman" w:eastAsia="宋体" w:cs="Times New Roman"/>
                <w:bCs w:val="0"/>
                <w:spacing w:val="0"/>
                <w:kern w:val="2"/>
                <w:sz w:val="21"/>
                <w:szCs w:val="22"/>
                <w:lang w:val="en-US" w:eastAsia="zh-CN" w:bidi="ar-SA"/>
              </w:rPr>
              <w:t>进行合规性评价。</w:t>
            </w:r>
          </w:p>
          <w:p>
            <w:pPr>
              <w:keepNext w:val="0"/>
              <w:keepLines w:val="0"/>
              <w:pageBreakBefore w:val="0"/>
              <w:widowControl w:val="0"/>
              <w:kinsoku/>
              <w:wordWrap/>
              <w:overflowPunct/>
              <w:topLinePunct/>
              <w:autoSpaceDE/>
              <w:autoSpaceDN/>
              <w:bidi w:val="0"/>
              <w:adjustRightInd/>
              <w:snapToGrid/>
              <w:spacing w:before="120" w:after="0" w:line="240" w:lineRule="auto"/>
              <w:ind w:firstLine="420" w:firstLineChars="200"/>
              <w:textAlignment w:val="auto"/>
              <w:rPr>
                <w:rFonts w:hint="eastAsia" w:ascii="Times New Roman" w:hAnsi="Times New Roman" w:eastAsia="宋体" w:cs="Times New Roman"/>
                <w:bCs w:val="0"/>
                <w:spacing w:val="0"/>
                <w:kern w:val="2"/>
                <w:sz w:val="21"/>
                <w:szCs w:val="22"/>
                <w:lang w:val="en-US" w:eastAsia="zh-CN" w:bidi="ar-SA"/>
              </w:rPr>
            </w:pPr>
            <w:r>
              <w:rPr>
                <w:rFonts w:hint="eastAsia" w:ascii="Times New Roman" w:hAnsi="Times New Roman" w:eastAsia="宋体" w:cs="Times New Roman"/>
                <w:bCs w:val="0"/>
                <w:spacing w:val="0"/>
                <w:kern w:val="2"/>
                <w:sz w:val="21"/>
                <w:szCs w:val="22"/>
                <w:lang w:val="en-US" w:eastAsia="zh-CN" w:bidi="ar-SA"/>
              </w:rPr>
              <w:t>经评价组人员的综合评价，公司严格贯彻执行国家、地方相关法律法规和其它标准要求，通过多方面、多渠道去节约能源，保护环境，使公司在能源消耗方面取得了一定的成效。</w:t>
            </w:r>
          </w:p>
          <w:p>
            <w:pPr>
              <w:keepNext w:val="0"/>
              <w:keepLines w:val="0"/>
              <w:pageBreakBefore w:val="0"/>
              <w:widowControl w:val="0"/>
              <w:kinsoku/>
              <w:wordWrap/>
              <w:overflowPunct/>
              <w:topLinePunct/>
              <w:autoSpaceDE/>
              <w:autoSpaceDN/>
              <w:bidi w:val="0"/>
              <w:adjustRightInd/>
              <w:snapToGrid/>
              <w:spacing w:before="120" w:after="0" w:line="240" w:lineRule="auto"/>
              <w:textAlignment w:val="auto"/>
              <w:rPr>
                <w:rFonts w:hint="eastAsia" w:ascii="Times New Roman" w:hAnsi="Times New Roman" w:cs="Times New Roman"/>
                <w:bCs w:val="0"/>
                <w:spacing w:val="0"/>
                <w:kern w:val="2"/>
                <w:sz w:val="21"/>
                <w:szCs w:val="22"/>
                <w:lang w:val="en-US" w:eastAsia="zh-CN" w:bidi="ar-SA"/>
              </w:rPr>
            </w:pPr>
            <w:r>
              <w:rPr>
                <w:rFonts w:hint="eastAsia" w:ascii="Times New Roman" w:hAnsi="Times New Roman" w:cs="Times New Roman"/>
                <w:bCs w:val="0"/>
                <w:spacing w:val="0"/>
                <w:kern w:val="2"/>
                <w:sz w:val="21"/>
                <w:szCs w:val="22"/>
                <w:lang w:val="en-US" w:eastAsia="zh-CN" w:bidi="ar-SA"/>
              </w:rPr>
              <w:t>评价结论：</w:t>
            </w:r>
            <w:r>
              <w:rPr>
                <w:rFonts w:hint="eastAsia" w:ascii="Times New Roman" w:hAnsi="Times New Roman" w:eastAsia="宋体" w:cs="Times New Roman"/>
                <w:bCs w:val="0"/>
                <w:spacing w:val="0"/>
                <w:kern w:val="2"/>
                <w:sz w:val="21"/>
                <w:szCs w:val="22"/>
                <w:lang w:val="en-US" w:eastAsia="zh-CN" w:bidi="ar-SA"/>
              </w:rPr>
              <w:t>评价组人员一致认为公司遵守国家、地方法律法规和其它要求符合、有效；全部合规。</w:t>
            </w:r>
          </w:p>
          <w:p>
            <w:pPr>
              <w:pStyle w:val="14"/>
              <w:keepNext w:val="0"/>
              <w:keepLines w:val="0"/>
              <w:pageBreakBefore w:val="0"/>
              <w:widowControl w:val="0"/>
              <w:kinsoku/>
              <w:wordWrap/>
              <w:overflowPunct/>
              <w:topLinePunct w:val="0"/>
              <w:autoSpaceDE/>
              <w:autoSpaceDN/>
              <w:bidi w:val="0"/>
              <w:adjustRightInd/>
              <w:snapToGrid/>
              <w:spacing w:before="120" w:after="0" w:line="240" w:lineRule="auto"/>
              <w:textAlignment w:val="auto"/>
              <w:rPr>
                <w:rFonts w:hint="eastAsia"/>
                <w:lang w:val="en-US" w:eastAsia="zh-CN"/>
              </w:rPr>
            </w:pPr>
            <w:r>
              <w:rPr>
                <w:rFonts w:hint="eastAsia" w:ascii="Times New Roman" w:hAnsi="Times New Roman" w:cs="Times New Roman"/>
                <w:bCs w:val="0"/>
                <w:spacing w:val="0"/>
                <w:kern w:val="2"/>
                <w:sz w:val="21"/>
                <w:szCs w:val="22"/>
                <w:lang w:val="en-US" w:eastAsia="zh-CN" w:bidi="ar-SA"/>
              </w:rPr>
              <w:t>基本符合要求。</w:t>
            </w:r>
          </w:p>
        </w:tc>
        <w:tc>
          <w:tcPr>
            <w:tcW w:w="1585" w:type="dxa"/>
          </w:tcPr>
          <w:p>
            <w:pPr>
              <w:pStyle w:val="14"/>
              <w:rPr>
                <w:rFonts w:hint="default"/>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2160" w:type="dxa"/>
          </w:tcPr>
          <w:p>
            <w:pPr>
              <w:rPr>
                <w:rFonts w:hint="eastAsia" w:ascii="宋体" w:hAnsi="宋体" w:eastAsia="宋体" w:cs="Times New Roman"/>
                <w:b/>
                <w:bCs/>
                <w:sz w:val="21"/>
                <w:szCs w:val="21"/>
                <w:lang w:val="en-US" w:eastAsia="zh-CN"/>
              </w:rPr>
            </w:pPr>
            <w:r>
              <w:rPr>
                <w:rFonts w:hint="eastAsia" w:ascii="宋体" w:hAnsi="宋体" w:eastAsia="宋体" w:cs="Times New Roman"/>
                <w:b/>
                <w:bCs/>
                <w:sz w:val="21"/>
                <w:szCs w:val="21"/>
                <w:lang w:val="en-US" w:eastAsia="zh-CN"/>
              </w:rPr>
              <w:t>内审</w:t>
            </w:r>
          </w:p>
        </w:tc>
        <w:tc>
          <w:tcPr>
            <w:tcW w:w="960" w:type="dxa"/>
          </w:tcPr>
          <w:p>
            <w:pPr>
              <w:rPr>
                <w:rFonts w:hint="default" w:ascii="宋体" w:hAnsi="宋体" w:cs="Times New Roman"/>
                <w:b/>
                <w:bCs/>
                <w:sz w:val="21"/>
                <w:szCs w:val="21"/>
                <w:lang w:val="en-US" w:eastAsia="zh-CN"/>
              </w:rPr>
            </w:pPr>
            <w:r>
              <w:rPr>
                <w:rFonts w:hint="eastAsia" w:ascii="宋体" w:hAnsi="宋体" w:cs="Times New Roman"/>
                <w:b/>
                <w:bCs/>
                <w:sz w:val="21"/>
                <w:szCs w:val="21"/>
                <w:lang w:val="en-US" w:eastAsia="zh-CN"/>
              </w:rPr>
              <w:t>9.2</w:t>
            </w:r>
          </w:p>
        </w:tc>
        <w:tc>
          <w:tcPr>
            <w:tcW w:w="10004" w:type="dxa"/>
          </w:tcPr>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hint="eastAsia" w:ascii="Times New Roman" w:hAnsi="Times New Roman" w:eastAsia="宋体" w:cs="Times New Roman"/>
                <w:szCs w:val="22"/>
                <w:lang w:val="zh-CN" w:eastAsia="zh-CN"/>
              </w:rPr>
            </w:pPr>
            <w:r>
              <w:rPr>
                <w:rFonts w:hint="eastAsia" w:ascii="Times New Roman" w:hAnsi="Times New Roman" w:eastAsia="宋体" w:cs="Times New Roman"/>
                <w:szCs w:val="22"/>
                <w:lang w:val="en-US" w:eastAsia="zh-CN"/>
              </w:rPr>
              <w:t>公司</w:t>
            </w:r>
            <w:r>
              <w:rPr>
                <w:rFonts w:hint="eastAsia" w:ascii="Times New Roman" w:hAnsi="Times New Roman" w:eastAsia="宋体" w:cs="Times New Roman"/>
                <w:szCs w:val="22"/>
                <w:lang w:val="zh-CN" w:eastAsia="zh-CN"/>
              </w:rPr>
              <w:t>制定并实施《内部审核控制程序》，有计划地通过内审来衡量公司的</w:t>
            </w:r>
            <w:r>
              <w:rPr>
                <w:rFonts w:hint="eastAsia" w:ascii="Times New Roman" w:hAnsi="Times New Roman" w:eastAsia="宋体" w:cs="Times New Roman"/>
                <w:szCs w:val="22"/>
                <w:lang w:val="en-US" w:eastAsia="zh-CN"/>
              </w:rPr>
              <w:t>能源</w:t>
            </w:r>
            <w:r>
              <w:rPr>
                <w:rFonts w:hint="eastAsia" w:ascii="Times New Roman" w:hAnsi="Times New Roman" w:eastAsia="宋体" w:cs="Times New Roman"/>
                <w:szCs w:val="22"/>
                <w:lang w:val="zh-CN" w:eastAsia="zh-CN"/>
              </w:rPr>
              <w:t>管理体系是否符合标准、文件、顾客及法律法规要求；是否有效地实施和保持。</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hint="eastAsia"/>
                <w:lang w:val="en-US" w:eastAsia="zh-CN"/>
              </w:rPr>
            </w:pPr>
            <w:r>
              <w:rPr>
                <w:rFonts w:hint="eastAsia"/>
                <w:lang w:val="en-US" w:eastAsia="zh-CN"/>
              </w:rPr>
              <w:t>查：内审资料汇编，包括：内审通知书、内审实施计划、内审首次会议签到表、内审检查表、内审末次会议签到表、内部审核报告、不符合项报告、培训效果确认记录等。</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pPr>
            <w:r>
              <w:rPr>
                <w:rFonts w:hint="eastAsia"/>
                <w:lang w:val="en-US" w:eastAsia="zh-CN"/>
              </w:rPr>
              <w:t>2021</w:t>
            </w:r>
            <w:r>
              <w:rPr>
                <w:rFonts w:hint="eastAsia"/>
              </w:rPr>
              <w:t>.</w:t>
            </w:r>
            <w:r>
              <w:rPr>
                <w:rFonts w:hint="eastAsia"/>
                <w:lang w:val="en-US" w:eastAsia="zh-CN"/>
              </w:rPr>
              <w:t>10.26</w:t>
            </w:r>
            <w:r>
              <w:rPr>
                <w:rFonts w:hint="eastAsia" w:cs="宋体"/>
              </w:rPr>
              <w:t>开展管理体系内部审核活动，并提供有以下内审的资料：</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hint="default" w:eastAsia="宋体" w:cs="宋体"/>
                <w:lang w:val="en-US" w:eastAsia="zh-CN"/>
              </w:rPr>
            </w:pPr>
            <w:r>
              <w:rPr>
                <w:rFonts w:hint="eastAsia" w:cs="宋体"/>
              </w:rPr>
              <w:t>《</w:t>
            </w:r>
            <w:r>
              <w:rPr>
                <w:rFonts w:hint="eastAsia" w:cs="宋体"/>
                <w:lang w:val="en-US" w:eastAsia="zh-CN"/>
              </w:rPr>
              <w:t>2021年内部</w:t>
            </w:r>
            <w:r>
              <w:rPr>
                <w:rFonts w:hint="eastAsia" w:cs="宋体"/>
              </w:rPr>
              <w:t>审核实施计划》，编制：</w:t>
            </w:r>
            <w:r>
              <w:rPr>
                <w:rFonts w:hint="eastAsia" w:eastAsia="宋体" w:cs="宋体"/>
                <w:szCs w:val="22"/>
                <w:lang w:eastAsia="zh-CN"/>
              </w:rPr>
              <w:t>郭绍华</w:t>
            </w:r>
            <w:r>
              <w:rPr>
                <w:rFonts w:hint="eastAsia" w:cs="宋体"/>
              </w:rPr>
              <w:t>20</w:t>
            </w:r>
            <w:r>
              <w:rPr>
                <w:rFonts w:hint="eastAsia" w:cs="宋体"/>
                <w:lang w:val="en-US" w:eastAsia="zh-CN"/>
              </w:rPr>
              <w:t>21</w:t>
            </w:r>
            <w:r>
              <w:rPr>
                <w:rFonts w:hint="eastAsia" w:cs="宋体"/>
              </w:rPr>
              <w:t>.</w:t>
            </w:r>
            <w:r>
              <w:rPr>
                <w:rFonts w:hint="eastAsia" w:cs="宋体"/>
                <w:lang w:val="en-US" w:eastAsia="zh-CN"/>
              </w:rPr>
              <w:t>10</w:t>
            </w:r>
            <w:r>
              <w:rPr>
                <w:rFonts w:hint="eastAsia" w:cs="宋体"/>
              </w:rPr>
              <w:t>.</w:t>
            </w:r>
            <w:r>
              <w:rPr>
                <w:rFonts w:hint="eastAsia" w:cs="宋体"/>
                <w:lang w:val="en-US" w:eastAsia="zh-CN"/>
              </w:rPr>
              <w:t>13</w:t>
            </w:r>
            <w:r>
              <w:t xml:space="preserve"> </w:t>
            </w:r>
            <w:r>
              <w:rPr>
                <w:rFonts w:hint="eastAsia" w:cs="宋体"/>
              </w:rPr>
              <w:t>批准：</w:t>
            </w:r>
            <w:r>
              <w:rPr>
                <w:rFonts w:hint="eastAsia" w:cs="宋体"/>
                <w:lang w:val="en-US" w:eastAsia="zh-CN"/>
              </w:rPr>
              <w:t>洪文富</w:t>
            </w:r>
            <w:r>
              <w:rPr>
                <w:rFonts w:hint="eastAsia" w:cs="宋体"/>
              </w:rPr>
              <w:t>20</w:t>
            </w:r>
            <w:r>
              <w:rPr>
                <w:rFonts w:hint="eastAsia" w:cs="宋体"/>
                <w:lang w:val="en-US" w:eastAsia="zh-CN"/>
              </w:rPr>
              <w:t>21</w:t>
            </w:r>
            <w:r>
              <w:rPr>
                <w:rFonts w:hint="eastAsia" w:cs="宋体"/>
              </w:rPr>
              <w:t>.</w:t>
            </w:r>
            <w:r>
              <w:rPr>
                <w:rFonts w:hint="eastAsia" w:cs="宋体"/>
                <w:lang w:val="en-US" w:eastAsia="zh-CN"/>
              </w:rPr>
              <w:t>10</w:t>
            </w:r>
            <w:r>
              <w:rPr>
                <w:rFonts w:hint="eastAsia" w:cs="宋体"/>
              </w:rPr>
              <w:t>.</w:t>
            </w:r>
            <w:r>
              <w:rPr>
                <w:rFonts w:hint="eastAsia" w:cs="宋体"/>
                <w:lang w:val="en-US" w:eastAsia="zh-CN"/>
              </w:rPr>
              <w:t>13</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pPr>
            <w:r>
              <w:rPr>
                <w:rFonts w:hint="eastAsia" w:cs="宋体"/>
              </w:rPr>
              <w:t>计划中规定审核的目的、依据、范围、时间、审核安排；</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pPr>
            <w:r>
              <w:rPr>
                <w:rFonts w:hint="eastAsia" w:cs="宋体"/>
              </w:rPr>
              <w:t>审核组组长：</w:t>
            </w:r>
            <w:r>
              <w:rPr>
                <w:rFonts w:hint="eastAsia" w:eastAsia="宋体" w:cs="宋体"/>
                <w:szCs w:val="22"/>
                <w:lang w:eastAsia="zh-CN"/>
              </w:rPr>
              <w:t>郭绍华</w:t>
            </w:r>
            <w:r>
              <w:rPr>
                <w:rFonts w:hint="eastAsia" w:cs="宋体"/>
              </w:rPr>
              <w:t>，组员：</w:t>
            </w:r>
            <w:r>
              <w:rPr>
                <w:rFonts w:hint="eastAsia" w:cs="宋体"/>
                <w:lang w:val="en-US" w:eastAsia="zh-CN"/>
              </w:rPr>
              <w:t>吴天宝</w:t>
            </w:r>
            <w:r>
              <w:rPr>
                <w:rFonts w:hint="eastAsia" w:cs="宋体"/>
              </w:rPr>
              <w:t>。</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pPr>
            <w:r>
              <w:rPr>
                <w:rFonts w:hint="eastAsia" w:cs="宋体"/>
              </w:rPr>
              <w:t>计划中没有漏标准条款、没有遗漏体系覆盖的部门和场所，内审员没有审核自己的工作。</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pPr>
            <w:r>
              <w:rPr>
                <w:rFonts w:hint="eastAsia" w:cs="宋体"/>
              </w:rPr>
              <w:t>内审首末次会议签到（领导层、各部门负责人）；</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pPr>
            <w:r>
              <w:rPr>
                <w:rFonts w:hint="eastAsia" w:cs="宋体"/>
              </w:rPr>
              <w:t>内部审核检查表，审核按计划进行，没有遗漏标准条款及体系覆盖的部门和场所，内审员没有审核自己的工作。</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hint="default" w:eastAsia="宋体"/>
                <w:lang w:val="en-US" w:eastAsia="zh-CN"/>
              </w:rPr>
            </w:pPr>
            <w:r>
              <w:rPr>
                <w:rFonts w:hint="eastAsia" w:cs="宋体"/>
              </w:rPr>
              <w:t>内审发现</w:t>
            </w:r>
            <w:r>
              <w:rPr>
                <w:rFonts w:hint="eastAsia"/>
              </w:rPr>
              <w:t>1</w:t>
            </w:r>
            <w:r>
              <w:rPr>
                <w:rFonts w:hint="eastAsia" w:cs="宋体"/>
              </w:rPr>
              <w:t>项不合格，为一般不符合项，查看《不符合报告》，</w:t>
            </w:r>
            <w:r>
              <w:rPr>
                <w:rFonts w:hint="eastAsia" w:cs="宋体"/>
                <w:lang w:val="en-US" w:eastAsia="zh-CN"/>
              </w:rPr>
              <w:t>问题描述为：</w:t>
            </w:r>
            <w:r>
              <w:rPr>
                <w:rFonts w:hint="eastAsia" w:cs="宋体"/>
                <w:szCs w:val="22"/>
                <w:lang w:val="en-US" w:eastAsia="zh-CN"/>
              </w:rPr>
              <w:t>“</w:t>
            </w:r>
            <w:r>
              <w:rPr>
                <w:rFonts w:hint="eastAsia" w:eastAsia="宋体" w:cs="宋体"/>
                <w:szCs w:val="22"/>
                <w:lang w:val="en-US" w:eastAsia="zh-CN"/>
              </w:rPr>
              <w:t>不能提供</w:t>
            </w:r>
            <w:r>
              <w:rPr>
                <w:rFonts w:hint="eastAsia" w:cs="宋体"/>
                <w:szCs w:val="22"/>
                <w:lang w:val="en-US" w:eastAsia="zh-CN"/>
              </w:rPr>
              <w:t>涉及</w:t>
            </w:r>
            <w:r>
              <w:rPr>
                <w:rFonts w:hint="eastAsia" w:eastAsia="宋体" w:cs="宋体"/>
                <w:szCs w:val="22"/>
                <w:lang w:val="en-US" w:eastAsia="zh-CN"/>
              </w:rPr>
              <w:t>能源的法律法规及其他要求清单</w:t>
            </w:r>
            <w:r>
              <w:rPr>
                <w:rFonts w:hint="eastAsia" w:cs="宋体"/>
                <w:szCs w:val="22"/>
                <w:lang w:val="en-US" w:eastAsia="zh-CN"/>
              </w:rPr>
              <w:t>”</w:t>
            </w:r>
            <w:r>
              <w:rPr>
                <w:rFonts w:hint="eastAsia" w:cs="宋体"/>
                <w:lang w:val="en-US" w:eastAsia="zh-CN"/>
              </w:rPr>
              <w:t>有</w:t>
            </w:r>
            <w:r>
              <w:rPr>
                <w:rFonts w:hint="eastAsia" w:cs="宋体"/>
              </w:rPr>
              <w:t>原因分析准确，并制定了纠正及纠正预防措施，且措施可行，并对其有效性进行了验证，验证人：</w:t>
            </w:r>
            <w:r>
              <w:rPr>
                <w:rFonts w:hint="eastAsia" w:eastAsia="宋体" w:cs="宋体"/>
                <w:szCs w:val="22"/>
                <w:lang w:eastAsia="zh-CN"/>
              </w:rPr>
              <w:t>郭绍华</w:t>
            </w:r>
            <w:r>
              <w:rPr>
                <w:rFonts w:hint="eastAsia" w:cs="宋体"/>
              </w:rPr>
              <w:t>20</w:t>
            </w:r>
            <w:r>
              <w:rPr>
                <w:rFonts w:hint="eastAsia" w:cs="宋体"/>
                <w:lang w:val="en-US" w:eastAsia="zh-CN"/>
              </w:rPr>
              <w:t>21.10.26</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hint="eastAsia" w:ascii="微软雅黑" w:hAnsi="微软雅黑" w:eastAsia="微软雅黑"/>
                <w:sz w:val="24"/>
              </w:rPr>
            </w:pPr>
            <w:r>
              <w:rPr>
                <w:rFonts w:hint="eastAsia" w:cs="宋体"/>
              </w:rPr>
              <w:t>内审编制有《</w:t>
            </w:r>
            <w:r>
              <w:rPr>
                <w:rFonts w:hint="eastAsia" w:cs="宋体"/>
                <w:lang w:val="en-US" w:eastAsia="zh-CN"/>
              </w:rPr>
              <w:t>2021年</w:t>
            </w:r>
            <w:r>
              <w:rPr>
                <w:rFonts w:hint="eastAsia" w:cs="宋体"/>
              </w:rPr>
              <w:t>内部管理体系审核报告》</w:t>
            </w:r>
            <w:r>
              <w:rPr>
                <w:rFonts w:hint="eastAsia" w:cs="宋体"/>
                <w:lang w:val="en-US" w:eastAsia="zh-CN"/>
              </w:rPr>
              <w:t>，</w:t>
            </w:r>
            <w:r>
              <w:rPr>
                <w:rFonts w:hint="eastAsia" w:cs="宋体"/>
              </w:rPr>
              <w:t>结论：</w:t>
            </w:r>
            <w:r>
              <w:rPr>
                <w:rFonts w:hint="eastAsia" w:ascii="Times New Roman" w:hAnsi="Times New Roman" w:eastAsia="宋体" w:cs="宋体"/>
                <w:szCs w:val="22"/>
              </w:rPr>
              <w:t>公司能源管理体系运行符合标准要求，适宜公司现状，能源管理体系运行有效，ISO50001：2018</w:t>
            </w:r>
            <w:r>
              <w:rPr>
                <w:rFonts w:hint="eastAsia" w:ascii="Times New Roman" w:hAnsi="Times New Roman" w:eastAsia="宋体" w:cs="宋体"/>
                <w:szCs w:val="22"/>
                <w:lang w:val="en-US" w:eastAsia="zh-CN"/>
              </w:rPr>
              <w:t>标准</w:t>
            </w:r>
            <w:r>
              <w:rPr>
                <w:rFonts w:hint="eastAsia" w:ascii="Times New Roman" w:hAnsi="Times New Roman" w:eastAsia="宋体" w:cs="宋体"/>
                <w:szCs w:val="22"/>
              </w:rPr>
              <w:t>相关要求在公司得到了有效的</w:t>
            </w:r>
            <w:r>
              <w:rPr>
                <w:rFonts w:hint="eastAsia" w:ascii="Times New Roman" w:hAnsi="Times New Roman" w:eastAsia="宋体" w:cs="宋体"/>
                <w:szCs w:val="22"/>
                <w:lang w:val="en-US" w:eastAsia="zh-CN"/>
              </w:rPr>
              <w:t>执行</w:t>
            </w:r>
            <w:r>
              <w:rPr>
                <w:rFonts w:hint="eastAsia" w:ascii="Times New Roman" w:hAnsi="Times New Roman" w:eastAsia="宋体" w:cs="宋体"/>
                <w:szCs w:val="22"/>
              </w:rPr>
              <w:t>。</w:t>
            </w:r>
            <w:r>
              <w:rPr>
                <w:rFonts w:hint="eastAsia" w:ascii="微软雅黑" w:hAnsi="微软雅黑" w:eastAsia="微软雅黑"/>
                <w:sz w:val="24"/>
              </w:rPr>
              <w:t xml:space="preserve"> </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hint="eastAsia" w:cs="宋体"/>
              </w:rPr>
            </w:pPr>
            <w:r>
              <w:rPr>
                <w:rFonts w:hint="eastAsia" w:cs="宋体"/>
              </w:rPr>
              <w:t>编制：</w:t>
            </w:r>
            <w:r>
              <w:rPr>
                <w:rFonts w:hint="eastAsia" w:eastAsia="宋体" w:cs="宋体"/>
                <w:szCs w:val="22"/>
                <w:lang w:eastAsia="zh-CN"/>
              </w:rPr>
              <w:t>郭绍华</w:t>
            </w:r>
            <w:r>
              <w:rPr>
                <w:rFonts w:hint="eastAsia" w:eastAsia="宋体" w:cs="宋体"/>
                <w:szCs w:val="22"/>
                <w:lang w:val="en-US" w:eastAsia="zh-CN"/>
              </w:rPr>
              <w:t xml:space="preserve"> </w:t>
            </w:r>
            <w:r>
              <w:rPr>
                <w:rFonts w:hint="eastAsia" w:cs="宋体"/>
              </w:rPr>
              <w:t>20</w:t>
            </w:r>
            <w:r>
              <w:rPr>
                <w:rFonts w:hint="eastAsia" w:cs="宋体"/>
                <w:lang w:val="en-US" w:eastAsia="zh-CN"/>
              </w:rPr>
              <w:t>21</w:t>
            </w:r>
            <w:r>
              <w:rPr>
                <w:rFonts w:hint="eastAsia" w:cs="宋体"/>
              </w:rPr>
              <w:t>年</w:t>
            </w:r>
            <w:r>
              <w:rPr>
                <w:rFonts w:hint="eastAsia" w:cs="宋体"/>
                <w:lang w:val="en-US" w:eastAsia="zh-CN"/>
              </w:rPr>
              <w:t>10</w:t>
            </w:r>
            <w:r>
              <w:rPr>
                <w:rFonts w:hint="eastAsia" w:cs="宋体"/>
              </w:rPr>
              <w:t>月</w:t>
            </w:r>
            <w:r>
              <w:rPr>
                <w:rFonts w:hint="eastAsia" w:cs="宋体"/>
                <w:lang w:val="en-US" w:eastAsia="zh-CN"/>
              </w:rPr>
              <w:t>26</w:t>
            </w:r>
            <w:r>
              <w:rPr>
                <w:rFonts w:hint="eastAsia" w:cs="宋体"/>
              </w:rPr>
              <w:t xml:space="preserve">日   </w:t>
            </w:r>
            <w:r>
              <w:t xml:space="preserve"> </w:t>
            </w:r>
            <w:r>
              <w:rPr>
                <w:rFonts w:hint="eastAsia" w:cs="宋体"/>
              </w:rPr>
              <w:t>批准：</w:t>
            </w:r>
            <w:r>
              <w:rPr>
                <w:rFonts w:hint="eastAsia" w:cs="宋体"/>
                <w:lang w:val="en-US" w:eastAsia="zh-CN"/>
              </w:rPr>
              <w:t xml:space="preserve">洪文富  </w:t>
            </w:r>
            <w:r>
              <w:rPr>
                <w:rFonts w:hint="eastAsia" w:cs="宋体"/>
              </w:rPr>
              <w:t>20</w:t>
            </w:r>
            <w:r>
              <w:rPr>
                <w:rFonts w:hint="eastAsia" w:cs="宋体"/>
                <w:lang w:val="en-US" w:eastAsia="zh-CN"/>
              </w:rPr>
              <w:t>21</w:t>
            </w:r>
            <w:r>
              <w:rPr>
                <w:rFonts w:hint="eastAsia" w:cs="宋体"/>
              </w:rPr>
              <w:t>年</w:t>
            </w:r>
            <w:r>
              <w:rPr>
                <w:rFonts w:hint="eastAsia" w:cs="宋体"/>
                <w:lang w:val="en-US" w:eastAsia="zh-CN"/>
              </w:rPr>
              <w:t>10</w:t>
            </w:r>
            <w:r>
              <w:rPr>
                <w:rFonts w:hint="eastAsia" w:cs="宋体"/>
              </w:rPr>
              <w:t>月</w:t>
            </w:r>
            <w:r>
              <w:rPr>
                <w:rFonts w:hint="eastAsia" w:cs="宋体"/>
                <w:lang w:val="en-US" w:eastAsia="zh-CN"/>
              </w:rPr>
              <w:t>26</w:t>
            </w:r>
            <w:r>
              <w:rPr>
                <w:rFonts w:hint="eastAsia" w:cs="宋体"/>
              </w:rPr>
              <w:t>日</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hint="eastAsia"/>
                <w:lang w:val="en-US" w:eastAsia="zh-CN"/>
              </w:rPr>
            </w:pPr>
            <w:r>
              <w:rPr>
                <w:rFonts w:hint="eastAsia" w:cs="宋体"/>
              </w:rPr>
              <w:t>经查，符合要求。</w:t>
            </w:r>
          </w:p>
        </w:tc>
        <w:tc>
          <w:tcPr>
            <w:tcW w:w="1585" w:type="dxa"/>
          </w:tcPr>
          <w:p>
            <w:pPr>
              <w:rPr>
                <w:rFonts w:hint="default"/>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2160" w:type="dxa"/>
          </w:tcPr>
          <w:p>
            <w:pPr>
              <w:rPr>
                <w:rFonts w:hint="eastAsia" w:ascii="宋体" w:hAnsi="宋体" w:eastAsia="宋体" w:cs="Times New Roman"/>
                <w:b/>
                <w:bCs/>
                <w:sz w:val="21"/>
                <w:szCs w:val="21"/>
                <w:lang w:val="en-US" w:eastAsia="zh-CN"/>
              </w:rPr>
            </w:pPr>
            <w:r>
              <w:rPr>
                <w:rFonts w:hint="eastAsia" w:ascii="宋体" w:hAnsi="宋体" w:eastAsia="宋体" w:cs="Times New Roman"/>
                <w:b/>
                <w:bCs/>
                <w:sz w:val="21"/>
                <w:szCs w:val="21"/>
                <w:lang w:val="en-US" w:eastAsia="zh-CN"/>
              </w:rPr>
              <w:t>不符合及纠正措施</w:t>
            </w:r>
          </w:p>
        </w:tc>
        <w:tc>
          <w:tcPr>
            <w:tcW w:w="960" w:type="dxa"/>
          </w:tcPr>
          <w:p>
            <w:pPr>
              <w:rPr>
                <w:rFonts w:hint="default" w:ascii="宋体" w:hAnsi="宋体" w:cs="Times New Roman"/>
                <w:b/>
                <w:bCs/>
                <w:sz w:val="21"/>
                <w:szCs w:val="21"/>
                <w:lang w:val="en-US" w:eastAsia="zh-CN"/>
              </w:rPr>
            </w:pPr>
            <w:r>
              <w:rPr>
                <w:rFonts w:hint="eastAsia" w:ascii="宋体" w:hAnsi="宋体" w:cs="Times New Roman"/>
                <w:b/>
                <w:bCs/>
                <w:sz w:val="21"/>
                <w:szCs w:val="21"/>
                <w:lang w:val="en-US" w:eastAsia="zh-CN"/>
              </w:rPr>
              <w:t>10.1</w:t>
            </w:r>
          </w:p>
        </w:tc>
        <w:tc>
          <w:tcPr>
            <w:tcW w:w="10004" w:type="dxa"/>
          </w:tcPr>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hint="eastAsia" w:eastAsia="宋体" w:cs="宋体"/>
                <w:szCs w:val="22"/>
                <w:lang w:val="en-US" w:eastAsia="zh-CN"/>
              </w:rPr>
            </w:pPr>
            <w:r>
              <w:rPr>
                <w:rFonts w:hint="eastAsia" w:eastAsia="宋体" w:cs="宋体"/>
                <w:szCs w:val="22"/>
                <w:lang w:val="en-US" w:eastAsia="zh-CN"/>
              </w:rPr>
              <w:t>查行政部检查问题已整改</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hint="eastAsia" w:cs="宋体"/>
                <w:szCs w:val="22"/>
                <w:lang w:val="en-US" w:eastAsia="zh-CN"/>
              </w:rPr>
            </w:pPr>
            <w:r>
              <w:rPr>
                <w:rFonts w:hint="eastAsia" w:eastAsia="宋体" w:cs="宋体"/>
                <w:szCs w:val="22"/>
                <w:lang w:val="en-US" w:eastAsia="zh-CN"/>
              </w:rPr>
              <w:t>内审</w:t>
            </w:r>
            <w:r>
              <w:rPr>
                <w:rFonts w:hint="eastAsia" w:cs="宋体"/>
                <w:szCs w:val="22"/>
                <w:lang w:val="en-US" w:eastAsia="zh-CN"/>
              </w:rPr>
              <w:t>1项</w:t>
            </w:r>
            <w:r>
              <w:rPr>
                <w:rFonts w:hint="eastAsia" w:eastAsia="宋体" w:cs="宋体"/>
                <w:szCs w:val="22"/>
                <w:lang w:val="en-US" w:eastAsia="zh-CN"/>
              </w:rPr>
              <w:t>不符合</w:t>
            </w:r>
            <w:r>
              <w:rPr>
                <w:rFonts w:hint="eastAsia" w:cs="宋体"/>
                <w:szCs w:val="22"/>
                <w:lang w:val="en-US" w:eastAsia="zh-CN"/>
              </w:rPr>
              <w:t>“</w:t>
            </w:r>
            <w:r>
              <w:rPr>
                <w:rFonts w:hint="eastAsia" w:eastAsia="宋体" w:cs="宋体"/>
                <w:szCs w:val="22"/>
                <w:lang w:val="en-US" w:eastAsia="zh-CN"/>
              </w:rPr>
              <w:t>不能提供</w:t>
            </w:r>
            <w:r>
              <w:rPr>
                <w:rFonts w:hint="eastAsia" w:cs="宋体"/>
                <w:szCs w:val="22"/>
                <w:lang w:val="en-US" w:eastAsia="zh-CN"/>
              </w:rPr>
              <w:t>涉及</w:t>
            </w:r>
            <w:r>
              <w:rPr>
                <w:rFonts w:hint="eastAsia" w:eastAsia="宋体" w:cs="宋体"/>
                <w:szCs w:val="22"/>
                <w:lang w:val="en-US" w:eastAsia="zh-CN"/>
              </w:rPr>
              <w:t>能源的法律法规及其他要求清单</w:t>
            </w:r>
            <w:r>
              <w:rPr>
                <w:rFonts w:hint="eastAsia" w:cs="宋体"/>
                <w:szCs w:val="22"/>
                <w:lang w:val="en-US" w:eastAsia="zh-CN"/>
              </w:rPr>
              <w:t>”有原因分析、有纠正措施和纠正措施的评估，有对</w:t>
            </w:r>
            <w:r>
              <w:rPr>
                <w:rFonts w:hint="eastAsia" w:eastAsia="宋体" w:cs="宋体"/>
                <w:szCs w:val="22"/>
                <w:lang w:val="en-US" w:eastAsia="zh-CN"/>
              </w:rPr>
              <w:t>整改</w:t>
            </w:r>
            <w:r>
              <w:rPr>
                <w:rFonts w:hint="eastAsia" w:cs="宋体"/>
                <w:szCs w:val="22"/>
                <w:lang w:val="en-US" w:eastAsia="zh-CN"/>
              </w:rPr>
              <w:t>效果的验证及验证人签字。</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hint="eastAsia" w:eastAsia="宋体" w:cs="宋体"/>
                <w:szCs w:val="22"/>
                <w:lang w:val="en-US" w:eastAsia="zh-CN"/>
              </w:rPr>
            </w:pPr>
            <w:r>
              <w:rPr>
                <w:rFonts w:hint="eastAsia" w:cs="宋体"/>
                <w:szCs w:val="22"/>
                <w:lang w:val="en-US" w:eastAsia="zh-CN"/>
              </w:rPr>
              <w:t>体系认证审核</w:t>
            </w:r>
            <w:r>
              <w:rPr>
                <w:rFonts w:hint="eastAsia" w:eastAsia="宋体" w:cs="宋体"/>
                <w:szCs w:val="22"/>
                <w:lang w:val="en-US" w:eastAsia="zh-CN"/>
              </w:rPr>
              <w:t>一阶段3个问题项，已落实整改措施。纠正措施基本到位</w:t>
            </w:r>
            <w:r>
              <w:rPr>
                <w:rFonts w:hint="eastAsia" w:cs="宋体"/>
                <w:szCs w:val="22"/>
                <w:lang w:val="en-US" w:eastAsia="zh-CN"/>
              </w:rPr>
              <w:t>。</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hint="default"/>
                <w:lang w:val="en-US" w:eastAsia="zh-CN"/>
              </w:rPr>
            </w:pPr>
            <w:r>
              <w:rPr>
                <w:rFonts w:hint="eastAsia" w:eastAsia="宋体" w:cs="宋体"/>
                <w:szCs w:val="22"/>
                <w:lang w:val="en-US" w:eastAsia="zh-CN"/>
              </w:rPr>
              <w:t>基本符合要求。</w:t>
            </w:r>
          </w:p>
        </w:tc>
        <w:tc>
          <w:tcPr>
            <w:tcW w:w="1585" w:type="dxa"/>
          </w:tcPr>
          <w:p>
            <w:pPr>
              <w:rPr>
                <w:rFonts w:hint="eastAsia"/>
                <w:lang w:val="en-US" w:eastAsia="zh-CN"/>
              </w:rPr>
            </w:pPr>
          </w:p>
        </w:tc>
      </w:tr>
    </w:tbl>
    <w:p>
      <w:pPr>
        <w:jc w:val="both"/>
        <w:rPr>
          <w:rFonts w:hint="eastAsia"/>
        </w:rPr>
      </w:pPr>
      <w:r>
        <w:rPr>
          <w:rFonts w:hint="eastAsia"/>
        </w:rPr>
        <w:t>说明：不符合标注N</w:t>
      </w:r>
    </w:p>
    <w:p>
      <w:pPr>
        <w:spacing w:line="480" w:lineRule="exact"/>
        <w:jc w:val="center"/>
        <w:rPr>
          <w:rFonts w:hint="eastAsia" w:ascii="隶书" w:hAnsi="宋体" w:eastAsia="隶书"/>
          <w:bCs/>
          <w:color w:val="000000"/>
          <w:sz w:val="36"/>
          <w:szCs w:val="36"/>
        </w:rPr>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2"/>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rPr>
                <w:rFonts w:hint="eastAsia" w:eastAsia="宋体"/>
                <w:sz w:val="24"/>
                <w:szCs w:val="24"/>
                <w:lang w:val="en-US" w:eastAsia="zh-CN"/>
              </w:rPr>
            </w:pPr>
            <w:r>
              <w:rPr>
                <w:rFonts w:hint="eastAsia"/>
                <w:sz w:val="24"/>
                <w:szCs w:val="24"/>
              </w:rPr>
              <w:t>受审核部门：</w:t>
            </w:r>
            <w:r>
              <w:rPr>
                <w:rFonts w:hint="eastAsia"/>
                <w:sz w:val="24"/>
                <w:szCs w:val="24"/>
                <w:lang w:val="en-US" w:eastAsia="zh-CN"/>
              </w:rPr>
              <w:t>财务部</w:t>
            </w:r>
            <w:r>
              <w:rPr>
                <w:rFonts w:hint="eastAsia"/>
                <w:sz w:val="24"/>
                <w:szCs w:val="24"/>
              </w:rPr>
              <w:t xml:space="preserve"> </w:t>
            </w:r>
            <w:r>
              <w:rPr>
                <w:sz w:val="24"/>
                <w:szCs w:val="24"/>
              </w:rPr>
              <w:t xml:space="preserve">  </w:t>
            </w:r>
            <w:r>
              <w:rPr>
                <w:rFonts w:hint="eastAsia"/>
                <w:sz w:val="24"/>
                <w:szCs w:val="24"/>
                <w:lang w:val="en-US" w:eastAsia="zh-CN"/>
              </w:rPr>
              <w:t xml:space="preserve">  </w:t>
            </w:r>
            <w:r>
              <w:rPr>
                <w:rFonts w:hint="eastAsia"/>
                <w:sz w:val="24"/>
                <w:szCs w:val="24"/>
              </w:rPr>
              <w:t>主管领导：</w:t>
            </w:r>
            <w:r>
              <w:rPr>
                <w:rFonts w:hint="eastAsia"/>
                <w:sz w:val="24"/>
                <w:szCs w:val="24"/>
                <w:highlight w:val="none"/>
                <w:lang w:val="en-US" w:eastAsia="zh-CN"/>
              </w:rPr>
              <w:t xml:space="preserve">陈武    </w:t>
            </w:r>
            <w:r>
              <w:rPr>
                <w:sz w:val="24"/>
                <w:szCs w:val="24"/>
              </w:rPr>
              <w:t xml:space="preserve"> </w:t>
            </w:r>
            <w:r>
              <w:rPr>
                <w:rFonts w:hint="eastAsia"/>
                <w:sz w:val="24"/>
                <w:szCs w:val="24"/>
              </w:rPr>
              <w:t>陪同人员：</w:t>
            </w:r>
            <w:r>
              <w:rPr>
                <w:rFonts w:hint="eastAsia"/>
                <w:sz w:val="24"/>
                <w:szCs w:val="24"/>
                <w:lang w:val="en-US" w:eastAsia="zh-CN"/>
              </w:rPr>
              <w:t>吴天宝</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004" w:type="dxa"/>
            <w:vAlign w:val="center"/>
          </w:tcPr>
          <w:p>
            <w:pPr>
              <w:spacing w:before="120"/>
            </w:pPr>
            <w:r>
              <w:rPr>
                <w:rFonts w:hint="eastAsia"/>
                <w:sz w:val="24"/>
                <w:szCs w:val="24"/>
              </w:rPr>
              <w:t xml:space="preserve">审核员： </w:t>
            </w:r>
            <w:r>
              <w:rPr>
                <w:rFonts w:hint="eastAsia"/>
                <w:sz w:val="24"/>
                <w:szCs w:val="24"/>
                <w:lang w:val="en-US" w:eastAsia="zh-CN"/>
              </w:rPr>
              <w:t>李丽英</w:t>
            </w:r>
            <w:r>
              <w:rPr>
                <w:sz w:val="24"/>
                <w:szCs w:val="24"/>
              </w:rPr>
              <w:t xml:space="preserve"> </w:t>
            </w:r>
            <w:r>
              <w:rPr>
                <w:rFonts w:hint="eastAsia"/>
                <w:sz w:val="24"/>
                <w:szCs w:val="24"/>
                <w:lang w:val="en-US" w:eastAsia="zh-CN"/>
              </w:rPr>
              <w:t xml:space="preserve">    </w:t>
            </w:r>
            <w:r>
              <w:rPr>
                <w:sz w:val="24"/>
                <w:szCs w:val="24"/>
              </w:rPr>
              <w:t xml:space="preserve"> </w:t>
            </w:r>
            <w:r>
              <w:rPr>
                <w:rFonts w:hint="eastAsia"/>
                <w:sz w:val="24"/>
                <w:szCs w:val="24"/>
              </w:rPr>
              <w:t>审核时间：</w:t>
            </w:r>
            <w:r>
              <w:t>2021年1</w:t>
            </w:r>
            <w:r>
              <w:rPr>
                <w:rFonts w:hint="eastAsia"/>
                <w:lang w:val="en-US" w:eastAsia="zh-CN"/>
              </w:rPr>
              <w:t>2</w:t>
            </w:r>
            <w:r>
              <w:t>月</w:t>
            </w:r>
            <w:r>
              <w:rPr>
                <w:rFonts w:hint="eastAsia"/>
                <w:lang w:val="en-US" w:eastAsia="zh-CN"/>
              </w:rPr>
              <w:t>4</w:t>
            </w:r>
            <w:r>
              <w:t xml:space="preserve">日 </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004" w:type="dxa"/>
            <w:vAlign w:val="center"/>
          </w:tcPr>
          <w:p>
            <w:pPr>
              <w:spacing w:line="300" w:lineRule="exact"/>
              <w:rPr>
                <w:rFonts w:hint="default" w:eastAsia="宋体"/>
                <w:sz w:val="24"/>
                <w:szCs w:val="24"/>
                <w:lang w:val="en-US" w:eastAsia="zh-CN"/>
              </w:rPr>
            </w:pPr>
            <w:r>
              <w:rPr>
                <w:rFonts w:hint="eastAsia"/>
                <w:sz w:val="24"/>
                <w:szCs w:val="24"/>
              </w:rPr>
              <w:t>审核条款：</w:t>
            </w:r>
            <w:r>
              <w:rPr>
                <w:rFonts w:hint="eastAsia" w:ascii="宋体" w:hAnsi="宋体" w:eastAsia="宋体" w:cs="Times New Roman"/>
                <w:b/>
                <w:bCs/>
                <w:sz w:val="21"/>
                <w:szCs w:val="21"/>
              </w:rPr>
              <w:t>E</w:t>
            </w:r>
            <w:r>
              <w:rPr>
                <w:rFonts w:hint="eastAsia" w:ascii="宋体" w:hAnsi="宋体" w:eastAsia="宋体" w:cs="Times New Roman"/>
                <w:b/>
                <w:bCs/>
                <w:sz w:val="21"/>
                <w:szCs w:val="21"/>
                <w:lang w:val="en-US" w:eastAsia="zh-CN"/>
              </w:rPr>
              <w:t>n</w:t>
            </w:r>
            <w:r>
              <w:rPr>
                <w:rFonts w:hint="eastAsia" w:ascii="宋体" w:hAnsi="宋体" w:eastAsia="宋体" w:cs="Times New Roman"/>
                <w:b/>
                <w:bCs/>
                <w:sz w:val="21"/>
                <w:szCs w:val="21"/>
              </w:rPr>
              <w:t>MS:5.3</w:t>
            </w:r>
            <w:r>
              <w:rPr>
                <w:rFonts w:hint="eastAsia" w:ascii="宋体" w:hAnsi="宋体" w:eastAsia="宋体" w:cs="Times New Roman"/>
                <w:b/>
                <w:bCs/>
                <w:sz w:val="21"/>
                <w:szCs w:val="21"/>
                <w:lang w:val="en-US" w:eastAsia="zh-CN"/>
              </w:rPr>
              <w:t>/</w:t>
            </w:r>
            <w:r>
              <w:rPr>
                <w:rFonts w:hint="eastAsia" w:ascii="宋体" w:hAnsi="宋体" w:eastAsia="宋体" w:cs="Times New Roman"/>
                <w:b/>
                <w:bCs/>
                <w:sz w:val="21"/>
                <w:szCs w:val="21"/>
              </w:rPr>
              <w:t>6.2</w:t>
            </w:r>
            <w:r>
              <w:rPr>
                <w:rFonts w:hint="eastAsia" w:ascii="宋体" w:hAnsi="宋体" w:eastAsia="宋体" w:cs="Times New Roman"/>
                <w:b/>
                <w:bCs/>
                <w:sz w:val="21"/>
                <w:szCs w:val="21"/>
                <w:lang w:val="en-US" w:eastAsia="zh-CN"/>
              </w:rPr>
              <w:t>/</w:t>
            </w:r>
            <w:r>
              <w:rPr>
                <w:rFonts w:hint="eastAsia" w:ascii="宋体" w:hAnsi="宋体" w:eastAsia="宋体" w:cs="Times New Roman"/>
                <w:b/>
                <w:bCs/>
                <w:sz w:val="21"/>
                <w:szCs w:val="21"/>
              </w:rPr>
              <w:t>8.1</w:t>
            </w:r>
            <w:r>
              <w:rPr>
                <w:rFonts w:hint="eastAsia" w:ascii="宋体" w:hAnsi="宋体" w:cs="Times New Roman"/>
                <w:b/>
                <w:bCs/>
                <w:sz w:val="21"/>
                <w:szCs w:val="21"/>
                <w:lang w:val="en-US" w:eastAsia="zh-CN"/>
              </w:rPr>
              <w:t>/10.1</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2160" w:type="dxa"/>
          </w:tcPr>
          <w:p>
            <w:r>
              <w:rPr>
                <w:rFonts w:hint="eastAsia" w:ascii="宋体" w:hAnsi="宋体" w:eastAsia="宋体" w:cs="Times New Roman"/>
                <w:b/>
                <w:bCs/>
                <w:sz w:val="21"/>
                <w:szCs w:val="21"/>
              </w:rPr>
              <w:t>岗位、职责和权限</w:t>
            </w:r>
            <w:r>
              <w:rPr>
                <w:rFonts w:hint="eastAsia" w:ascii="宋体" w:hAnsi="宋体" w:cs="Times New Roman"/>
                <w:b/>
                <w:bCs/>
                <w:sz w:val="21"/>
                <w:szCs w:val="21"/>
                <w:lang w:eastAsia="zh-CN"/>
              </w:rPr>
              <w:t>；</w:t>
            </w:r>
          </w:p>
        </w:tc>
        <w:tc>
          <w:tcPr>
            <w:tcW w:w="960" w:type="dxa"/>
          </w:tcPr>
          <w:p>
            <w:r>
              <w:rPr>
                <w:rFonts w:hint="eastAsia" w:ascii="宋体" w:hAnsi="宋体" w:eastAsia="宋体" w:cs="Times New Roman"/>
                <w:b/>
                <w:bCs/>
                <w:sz w:val="21"/>
                <w:szCs w:val="21"/>
              </w:rPr>
              <w:t>5.3</w:t>
            </w:r>
          </w:p>
        </w:tc>
        <w:tc>
          <w:tcPr>
            <w:tcW w:w="10004" w:type="dxa"/>
          </w:tcPr>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hint="eastAsia" w:ascii="Times New Roman" w:hAnsi="Times New Roman" w:eastAsia="宋体" w:cs="Times New Roman"/>
                <w:szCs w:val="22"/>
                <w:highlight w:val="green"/>
                <w:lang w:val="en-US" w:eastAsia="zh-CN"/>
              </w:rPr>
            </w:pPr>
            <w:r>
              <w:rPr>
                <w:rFonts w:hint="eastAsia" w:cs="Times New Roman"/>
                <w:szCs w:val="22"/>
                <w:lang w:val="en-US" w:eastAsia="zh-CN"/>
              </w:rPr>
              <w:t>财务部经领导陈武</w:t>
            </w:r>
            <w:r>
              <w:rPr>
                <w:rFonts w:hint="eastAsia" w:ascii="Times New Roman" w:hAnsi="Times New Roman" w:eastAsia="宋体" w:cs="Times New Roman"/>
                <w:szCs w:val="22"/>
                <w:lang w:val="en-US" w:eastAsia="zh-CN"/>
              </w:rPr>
              <w:t>介绍：</w:t>
            </w:r>
            <w:r>
              <w:rPr>
                <w:rFonts w:hint="eastAsia" w:cs="Times New Roman"/>
                <w:szCs w:val="22"/>
                <w:lang w:val="en-US" w:eastAsia="zh-CN"/>
              </w:rPr>
              <w:t>财务部</w:t>
            </w:r>
            <w:r>
              <w:rPr>
                <w:rFonts w:hint="eastAsia" w:ascii="Times New Roman" w:hAnsi="Times New Roman" w:eastAsia="宋体" w:cs="Times New Roman"/>
                <w:szCs w:val="22"/>
                <w:lang w:val="en-US" w:eastAsia="zh-CN"/>
              </w:rPr>
              <w:t>部</w:t>
            </w:r>
            <w:r>
              <w:rPr>
                <w:rFonts w:hint="eastAsia" w:ascii="Times New Roman" w:hAnsi="Times New Roman" w:eastAsia="宋体" w:cs="Times New Roman"/>
                <w:szCs w:val="22"/>
                <w:highlight w:val="none"/>
                <w:lang w:val="en-US" w:eastAsia="zh-CN"/>
              </w:rPr>
              <w:t>岗位设置：会计和出纳。</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hint="default"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 xml:space="preserve">1.主要负责负责本部门能源管理体系建立实施与运行持续改进；参与公司内审、管理评审，对涉及本部门的不符合及改进项进行改进、跟踪； </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hint="default"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2.提供能源体系所需的资金。</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hint="default"/>
                <w:lang w:val="en-US" w:eastAsia="zh-CN"/>
              </w:rPr>
            </w:pPr>
            <w:r>
              <w:rPr>
                <w:rFonts w:hint="eastAsia"/>
                <w:lang w:val="en-US" w:eastAsia="zh-CN"/>
              </w:rPr>
              <w:t>对职责较明确清晰。</w:t>
            </w: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1" w:hRule="atLeast"/>
        </w:trPr>
        <w:tc>
          <w:tcPr>
            <w:tcW w:w="2160" w:type="dxa"/>
          </w:tcPr>
          <w:p>
            <w:r>
              <w:rPr>
                <w:rFonts w:hint="eastAsia" w:ascii="宋体" w:hAnsi="宋体" w:eastAsia="宋体" w:cs="Times New Roman"/>
                <w:b/>
                <w:bCs/>
                <w:sz w:val="21"/>
                <w:szCs w:val="21"/>
              </w:rPr>
              <w:t>目标、指</w:t>
            </w:r>
            <w:r>
              <w:rPr>
                <w:rFonts w:hint="eastAsia" w:ascii="宋体" w:hAnsi="宋体" w:eastAsia="宋体" w:cs="Times New Roman"/>
                <w:b/>
                <w:bCs/>
                <w:sz w:val="21"/>
                <w:szCs w:val="21"/>
                <w:lang w:val="en-US" w:eastAsia="zh-CN"/>
              </w:rPr>
              <w:t>标</w:t>
            </w:r>
          </w:p>
        </w:tc>
        <w:tc>
          <w:tcPr>
            <w:tcW w:w="960" w:type="dxa"/>
          </w:tcPr>
          <w:p>
            <w:pPr>
              <w:rPr>
                <w:rFonts w:hint="eastAsia" w:eastAsia="宋体"/>
                <w:lang w:val="en-US" w:eastAsia="zh-CN"/>
              </w:rPr>
            </w:pPr>
            <w:r>
              <w:rPr>
                <w:rFonts w:hint="eastAsia" w:ascii="宋体" w:hAnsi="宋体" w:eastAsia="宋体" w:cs="Times New Roman"/>
                <w:b/>
                <w:bCs/>
                <w:sz w:val="21"/>
                <w:szCs w:val="21"/>
              </w:rPr>
              <w:t>6.2</w:t>
            </w:r>
          </w:p>
        </w:tc>
        <w:tc>
          <w:tcPr>
            <w:tcW w:w="10004" w:type="dxa"/>
          </w:tcPr>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hint="default"/>
                <w:lang w:val="en-US" w:eastAsia="zh-CN"/>
              </w:rPr>
            </w:pPr>
            <w:r>
              <w:rPr>
                <w:rFonts w:hint="eastAsia"/>
                <w:lang w:val="en-US" w:eastAsia="zh-CN"/>
              </w:rPr>
              <w:t>公司制定了公司</w:t>
            </w:r>
            <w:r>
              <w:rPr>
                <w:rFonts w:hint="eastAsia"/>
                <w:highlight w:val="none"/>
                <w:lang w:val="en-US" w:eastAsia="zh-CN"/>
              </w:rPr>
              <w:t>级能耗目标，</w:t>
            </w:r>
            <w:r>
              <w:rPr>
                <w:rFonts w:hint="eastAsia"/>
                <w:lang w:val="en-US" w:eastAsia="zh-CN"/>
              </w:rPr>
              <w:t>没有进行分解，财务的目标主要是保证节能项目的资金支持和能源采购的资金支持。</w:t>
            </w:r>
          </w:p>
          <w:p>
            <w:pPr>
              <w:pStyle w:val="2"/>
              <w:keepNext w:val="0"/>
              <w:keepLines w:val="0"/>
              <w:pageBreakBefore w:val="0"/>
              <w:kinsoku/>
              <w:wordWrap/>
              <w:overflowPunct/>
              <w:topLinePunct w:val="0"/>
              <w:autoSpaceDE/>
              <w:autoSpaceDN/>
              <w:bidi w:val="0"/>
              <w:adjustRightInd/>
              <w:snapToGrid/>
              <w:spacing w:before="157" w:beforeLines="50"/>
              <w:textAlignment w:val="auto"/>
              <w:rPr>
                <w:rFonts w:hint="default"/>
                <w:lang w:val="en-US" w:eastAsia="zh-CN"/>
              </w:rPr>
            </w:pPr>
            <w:r>
              <w:rPr>
                <w:rFonts w:hint="eastAsia" w:ascii="Times New Roman" w:hAnsi="Times New Roman" w:eastAsia="宋体" w:cs="Times New Roman"/>
                <w:color w:val="auto"/>
                <w:spacing w:val="0"/>
                <w:kern w:val="2"/>
                <w:sz w:val="21"/>
                <w:szCs w:val="22"/>
                <w:lang w:val="en-US" w:eastAsia="zh-CN" w:bidi="ar-SA"/>
              </w:rPr>
              <w:t>目标指标完成情况见</w:t>
            </w:r>
            <w:r>
              <w:rPr>
                <w:rFonts w:hint="eastAsia" w:eastAsia="宋体" w:cs="Times New Roman"/>
                <w:color w:val="auto"/>
                <w:spacing w:val="0"/>
                <w:kern w:val="2"/>
                <w:sz w:val="21"/>
                <w:szCs w:val="22"/>
                <w:lang w:val="en-US" w:eastAsia="zh-CN" w:bidi="ar-SA"/>
              </w:rPr>
              <w:t>行政部</w:t>
            </w:r>
            <w:r>
              <w:rPr>
                <w:rFonts w:hint="eastAsia" w:ascii="Times New Roman" w:hAnsi="Times New Roman" w:eastAsia="宋体" w:cs="Times New Roman"/>
                <w:color w:val="auto"/>
                <w:spacing w:val="0"/>
                <w:kern w:val="2"/>
                <w:sz w:val="21"/>
                <w:szCs w:val="22"/>
                <w:lang w:val="en-US" w:eastAsia="zh-CN" w:bidi="ar-SA"/>
              </w:rPr>
              <w:t>审核记录。</w:t>
            </w:r>
          </w:p>
        </w:tc>
        <w:tc>
          <w:tcPr>
            <w:tcW w:w="1585" w:type="dxa"/>
          </w:tcPr>
          <w:p>
            <w:pPr>
              <w:rPr>
                <w:rFonts w:hint="default"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2160" w:type="dxa"/>
            <w:vAlign w:val="top"/>
          </w:tcPr>
          <w:p>
            <w:pPr>
              <w:rPr>
                <w:rFonts w:hint="eastAsia" w:ascii="宋体" w:hAnsi="宋体" w:eastAsia="宋体" w:cs="Times New Roman"/>
                <w:b/>
                <w:bCs/>
                <w:kern w:val="2"/>
                <w:sz w:val="21"/>
                <w:szCs w:val="21"/>
                <w:lang w:val="en-US" w:eastAsia="zh-CN" w:bidi="ar-SA"/>
              </w:rPr>
            </w:pPr>
            <w:r>
              <w:rPr>
                <w:rFonts w:hint="eastAsia" w:ascii="宋体" w:hAnsi="宋体" w:eastAsia="宋体" w:cs="Times New Roman"/>
                <w:b/>
                <w:bCs/>
                <w:sz w:val="21"/>
                <w:szCs w:val="21"/>
              </w:rPr>
              <w:t>运行控制</w:t>
            </w:r>
          </w:p>
        </w:tc>
        <w:tc>
          <w:tcPr>
            <w:tcW w:w="960" w:type="dxa"/>
            <w:vAlign w:val="top"/>
          </w:tcPr>
          <w:p>
            <w:pPr>
              <w:rPr>
                <w:rFonts w:hint="eastAsia" w:ascii="宋体" w:hAnsi="宋体" w:eastAsia="宋体" w:cs="Times New Roman"/>
                <w:b/>
                <w:bCs/>
                <w:kern w:val="2"/>
                <w:sz w:val="21"/>
                <w:szCs w:val="21"/>
                <w:lang w:val="en-US" w:eastAsia="zh-CN" w:bidi="ar-SA"/>
              </w:rPr>
            </w:pPr>
            <w:r>
              <w:rPr>
                <w:rFonts w:hint="eastAsia" w:ascii="宋体" w:hAnsi="宋体" w:eastAsia="宋体" w:cs="Times New Roman"/>
                <w:b/>
                <w:bCs/>
                <w:sz w:val="21"/>
                <w:szCs w:val="21"/>
              </w:rPr>
              <w:t>8.1</w:t>
            </w:r>
          </w:p>
        </w:tc>
        <w:tc>
          <w:tcPr>
            <w:tcW w:w="10004" w:type="dxa"/>
            <w:vAlign w:val="top"/>
          </w:tcPr>
          <w:p>
            <w:pPr>
              <w:pStyle w:val="6"/>
              <w:keepNext w:val="0"/>
              <w:keepLines w:val="0"/>
              <w:pageBreakBefore w:val="0"/>
              <w:widowControl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提供2021年企业1-10月份资金支付情况</w:t>
            </w:r>
          </w:p>
          <w:p>
            <w:pPr>
              <w:pStyle w:val="6"/>
              <w:keepNext w:val="0"/>
              <w:keepLines w:val="0"/>
              <w:pageBreakBefore w:val="0"/>
              <w:widowControl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宋体" w:cs="Times New Roman"/>
                <w:kern w:val="2"/>
                <w:sz w:val="21"/>
                <w:szCs w:val="22"/>
                <w:lang w:val="en-US" w:eastAsia="zh-CN" w:bidi="ar-SA"/>
              </w:rPr>
            </w:pPr>
            <w:r>
              <w:rPr>
                <w:rFonts w:hint="eastAsia"/>
                <w:lang w:val="en-US" w:eastAsia="zh-CN"/>
              </w:rPr>
              <w:t xml:space="preserve"> </w:t>
            </w:r>
            <w:r>
              <w:rPr>
                <w:rFonts w:hint="eastAsia" w:ascii="Times New Roman" w:hAnsi="Times New Roman" w:eastAsia="宋体" w:cs="Times New Roman"/>
                <w:kern w:val="2"/>
                <w:sz w:val="21"/>
                <w:szCs w:val="22"/>
                <w:lang w:val="en-US" w:eastAsia="zh-CN" w:bidi="ar-SA"/>
              </w:rPr>
              <w:t>抽查2021年购电，液化气，蒸汽的发票，抽查购买大型用能设备或主要用能设备的发票，如下</w:t>
            </w:r>
          </w:p>
          <w:p>
            <w:pPr>
              <w:pStyle w:val="6"/>
              <w:keepNext w:val="0"/>
              <w:keepLines w:val="0"/>
              <w:pageBreakBefore w:val="0"/>
              <w:widowControl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抽查2021年1-10月采购能源数据统计情况</w:t>
            </w:r>
          </w:p>
          <w:p>
            <w:pPr>
              <w:pStyle w:val="6"/>
              <w:keepNext w:val="0"/>
              <w:keepLines w:val="0"/>
              <w:pageBreakBefore w:val="0"/>
              <w:widowControl w:val="0"/>
              <w:kinsoku/>
              <w:wordWrap/>
              <w:overflowPunct/>
              <w:topLinePunct w:val="0"/>
              <w:autoSpaceDE/>
              <w:autoSpaceDN/>
              <w:bidi w:val="0"/>
              <w:adjustRightInd/>
              <w:snapToGrid/>
              <w:spacing w:before="120" w:after="0" w:line="240" w:lineRule="auto"/>
              <w:ind w:firstLine="400" w:firstLineChars="200"/>
              <w:textAlignment w:val="auto"/>
              <w:rPr>
                <w:rFonts w:hint="default"/>
                <w:lang w:val="en-US" w:eastAsia="zh-CN"/>
              </w:rPr>
            </w:pPr>
            <w:r>
              <w:drawing>
                <wp:inline distT="0" distB="0" distL="114300" distR="114300">
                  <wp:extent cx="4877435" cy="1666240"/>
                  <wp:effectExtent l="0" t="0" r="12065" b="1016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8"/>
                          <a:stretch>
                            <a:fillRect/>
                          </a:stretch>
                        </pic:blipFill>
                        <pic:spPr>
                          <a:xfrm>
                            <a:off x="0" y="0"/>
                            <a:ext cx="4877435" cy="1666240"/>
                          </a:xfrm>
                          <a:prstGeom prst="rect">
                            <a:avLst/>
                          </a:prstGeom>
                          <a:noFill/>
                          <a:ln>
                            <a:noFill/>
                          </a:ln>
                        </pic:spPr>
                      </pic:pic>
                    </a:graphicData>
                  </a:graphic>
                </wp:inline>
              </w:drawing>
            </w:r>
          </w:p>
          <w:p>
            <w:pPr>
              <w:pStyle w:val="6"/>
              <w:keepNext w:val="0"/>
              <w:keepLines w:val="0"/>
              <w:pageBreakBefore w:val="0"/>
              <w:widowControl w:val="0"/>
              <w:kinsoku/>
              <w:wordWrap/>
              <w:overflowPunct/>
              <w:topLinePunct w:val="0"/>
              <w:autoSpaceDE/>
              <w:autoSpaceDN/>
              <w:bidi w:val="0"/>
              <w:adjustRightInd/>
              <w:snapToGrid/>
              <w:spacing w:before="120" w:after="0" w:line="240" w:lineRule="auto"/>
              <w:textAlignment w:val="auto"/>
              <w:rPr>
                <w:rFonts w:hint="eastAsia"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抽查液化气采购发票</w:t>
            </w:r>
          </w:p>
          <w:p>
            <w:pPr>
              <w:pStyle w:val="6"/>
              <w:keepNext w:val="0"/>
              <w:keepLines w:val="0"/>
              <w:pageBreakBefore w:val="0"/>
              <w:widowControl w:val="0"/>
              <w:kinsoku/>
              <w:wordWrap/>
              <w:overflowPunct/>
              <w:topLinePunct w:val="0"/>
              <w:autoSpaceDE/>
              <w:autoSpaceDN/>
              <w:bidi w:val="0"/>
              <w:adjustRightInd/>
              <w:snapToGrid/>
              <w:spacing w:before="120" w:after="0" w:line="240" w:lineRule="auto"/>
              <w:textAlignment w:val="auto"/>
              <w:rPr>
                <w:rFonts w:hint="eastAsia"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发票：2021年3月29日编号01677333；  2021年4月29日编号00479329</w:t>
            </w:r>
          </w:p>
          <w:p>
            <w:pPr>
              <w:pStyle w:val="6"/>
              <w:keepNext w:val="0"/>
              <w:keepLines w:val="0"/>
              <w:pageBreakBefore w:val="0"/>
              <w:widowControl w:val="0"/>
              <w:kinsoku/>
              <w:wordWrap/>
              <w:overflowPunct/>
              <w:topLinePunct w:val="0"/>
              <w:autoSpaceDE/>
              <w:autoSpaceDN/>
              <w:bidi w:val="0"/>
              <w:adjustRightInd/>
              <w:snapToGrid/>
              <w:spacing w:before="120" w:after="0" w:line="240" w:lineRule="auto"/>
              <w:ind w:firstLine="400" w:firstLineChars="200"/>
              <w:textAlignment w:val="auto"/>
              <w:rPr>
                <w:rFonts w:hint="default" w:eastAsia="宋体"/>
                <w:lang w:val="en-US" w:eastAsia="zh-CN"/>
              </w:rPr>
            </w:pPr>
            <w:r>
              <w:rPr>
                <w:rFonts w:hint="eastAsia" w:eastAsia="宋体"/>
                <w:lang w:val="en-US" w:eastAsia="zh-CN"/>
              </w:rPr>
              <w:t xml:space="preserve">  </w:t>
            </w:r>
            <w:r>
              <w:drawing>
                <wp:inline distT="0" distB="0" distL="114300" distR="114300">
                  <wp:extent cx="2625725" cy="1478280"/>
                  <wp:effectExtent l="0" t="0" r="3175" b="7620"/>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9"/>
                          <a:stretch>
                            <a:fillRect/>
                          </a:stretch>
                        </pic:blipFill>
                        <pic:spPr>
                          <a:xfrm>
                            <a:off x="0" y="0"/>
                            <a:ext cx="2625725" cy="1478280"/>
                          </a:xfrm>
                          <a:prstGeom prst="rect">
                            <a:avLst/>
                          </a:prstGeom>
                          <a:noFill/>
                          <a:ln>
                            <a:noFill/>
                          </a:ln>
                        </pic:spPr>
                      </pic:pic>
                    </a:graphicData>
                  </a:graphic>
                </wp:inline>
              </w:drawing>
            </w:r>
            <w:r>
              <w:rPr>
                <w:rFonts w:hint="eastAsia" w:eastAsia="宋体"/>
                <w:lang w:val="en-US" w:eastAsia="zh-CN"/>
              </w:rPr>
              <w:t xml:space="preserve">  </w:t>
            </w:r>
            <w:r>
              <w:drawing>
                <wp:inline distT="0" distB="0" distL="114300" distR="114300">
                  <wp:extent cx="2978785" cy="1524635"/>
                  <wp:effectExtent l="0" t="0" r="5715" b="12065"/>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10"/>
                          <a:stretch>
                            <a:fillRect/>
                          </a:stretch>
                        </pic:blipFill>
                        <pic:spPr>
                          <a:xfrm>
                            <a:off x="0" y="0"/>
                            <a:ext cx="2978785" cy="1524635"/>
                          </a:xfrm>
                          <a:prstGeom prst="rect">
                            <a:avLst/>
                          </a:prstGeom>
                          <a:noFill/>
                          <a:ln>
                            <a:noFill/>
                          </a:ln>
                        </pic:spPr>
                      </pic:pic>
                    </a:graphicData>
                  </a:graphic>
                </wp:inline>
              </w:drawing>
            </w:r>
          </w:p>
          <w:p>
            <w:pPr>
              <w:pStyle w:val="6"/>
              <w:keepNext w:val="0"/>
              <w:keepLines w:val="0"/>
              <w:pageBreakBefore w:val="0"/>
              <w:widowControl w:val="0"/>
              <w:kinsoku/>
              <w:wordWrap/>
              <w:overflowPunct/>
              <w:topLinePunct w:val="0"/>
              <w:autoSpaceDE/>
              <w:autoSpaceDN/>
              <w:bidi w:val="0"/>
              <w:adjustRightInd/>
              <w:snapToGrid/>
              <w:spacing w:before="120" w:after="0" w:line="240" w:lineRule="auto"/>
              <w:textAlignment w:val="auto"/>
              <w:rPr>
                <w:rFonts w:hint="default" w:eastAsia="宋体"/>
                <w:lang w:val="en-US" w:eastAsia="zh-CN"/>
              </w:rPr>
            </w:pPr>
            <w:r>
              <w:rPr>
                <w:rFonts w:hint="eastAsia" w:eastAsia="宋体"/>
                <w:lang w:val="en-US" w:eastAsia="zh-CN"/>
              </w:rPr>
              <w:t xml:space="preserve"> </w:t>
            </w:r>
          </w:p>
          <w:p>
            <w:pPr>
              <w:pStyle w:val="6"/>
              <w:keepNext w:val="0"/>
              <w:keepLines w:val="0"/>
              <w:pageBreakBefore w:val="0"/>
              <w:widowControl w:val="0"/>
              <w:kinsoku/>
              <w:wordWrap/>
              <w:overflowPunct/>
              <w:topLinePunct w:val="0"/>
              <w:autoSpaceDE/>
              <w:autoSpaceDN/>
              <w:bidi w:val="0"/>
              <w:adjustRightInd/>
              <w:snapToGrid/>
              <w:spacing w:before="120" w:after="0" w:line="240" w:lineRule="auto"/>
              <w:ind w:firstLine="400" w:firstLineChars="200"/>
              <w:textAlignment w:val="auto"/>
              <w:rPr>
                <w:rFonts w:hint="eastAsia" w:eastAsia="宋体"/>
                <w:lang w:val="en-US" w:eastAsia="zh-CN"/>
              </w:rPr>
            </w:pPr>
            <w:r>
              <w:rPr>
                <w:rFonts w:hint="eastAsia" w:eastAsia="宋体"/>
                <w:lang w:val="en-US" w:eastAsia="zh-CN"/>
              </w:rPr>
              <w:t xml:space="preserve"> 抽查购电发票</w:t>
            </w:r>
          </w:p>
          <w:p>
            <w:pPr>
              <w:pStyle w:val="6"/>
              <w:keepNext w:val="0"/>
              <w:keepLines w:val="0"/>
              <w:pageBreakBefore w:val="0"/>
              <w:widowControl w:val="0"/>
              <w:kinsoku/>
              <w:wordWrap/>
              <w:overflowPunct/>
              <w:topLinePunct w:val="0"/>
              <w:autoSpaceDE/>
              <w:autoSpaceDN/>
              <w:bidi w:val="0"/>
              <w:adjustRightInd/>
              <w:snapToGrid/>
              <w:spacing w:before="120" w:after="0" w:line="240" w:lineRule="auto"/>
              <w:ind w:firstLine="400" w:firstLineChars="200"/>
              <w:textAlignment w:val="auto"/>
              <w:rPr>
                <w:rFonts w:hint="default" w:eastAsia="宋体"/>
                <w:lang w:val="en-US" w:eastAsia="zh-CN"/>
              </w:rPr>
            </w:pPr>
            <w:r>
              <w:rPr>
                <w:rFonts w:hint="eastAsia" w:eastAsia="宋体"/>
                <w:lang w:val="en-US" w:eastAsia="zh-CN"/>
              </w:rPr>
              <w:t>发票</w:t>
            </w:r>
            <w:r>
              <w:rPr>
                <w:rFonts w:hint="eastAsia"/>
                <w:lang w:val="en-US" w:eastAsia="zh-CN"/>
              </w:rPr>
              <w:t>2021年1月10日编号13563770； 2021年3月10日编号02056160</w:t>
            </w:r>
            <w:r>
              <w:rPr>
                <w:rFonts w:hint="eastAsia" w:eastAsia="宋体"/>
                <w:lang w:val="en-US" w:eastAsia="zh-CN"/>
              </w:rPr>
              <w:t xml:space="preserve">  </w:t>
            </w:r>
            <w:r>
              <w:drawing>
                <wp:inline distT="0" distB="0" distL="114300" distR="114300">
                  <wp:extent cx="2529840" cy="1648460"/>
                  <wp:effectExtent l="0" t="0" r="10160" b="254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1"/>
                          <a:stretch>
                            <a:fillRect/>
                          </a:stretch>
                        </pic:blipFill>
                        <pic:spPr>
                          <a:xfrm>
                            <a:off x="0" y="0"/>
                            <a:ext cx="2529840" cy="1648460"/>
                          </a:xfrm>
                          <a:prstGeom prst="rect">
                            <a:avLst/>
                          </a:prstGeom>
                          <a:noFill/>
                          <a:ln>
                            <a:noFill/>
                          </a:ln>
                        </pic:spPr>
                      </pic:pic>
                    </a:graphicData>
                  </a:graphic>
                </wp:inline>
              </w:drawing>
            </w:r>
            <w:r>
              <w:rPr>
                <w:rFonts w:hint="eastAsia" w:eastAsia="宋体"/>
                <w:lang w:val="en-US" w:eastAsia="zh-CN"/>
              </w:rPr>
              <w:t xml:space="preserve">    </w:t>
            </w:r>
            <w:r>
              <w:drawing>
                <wp:inline distT="0" distB="0" distL="114300" distR="114300">
                  <wp:extent cx="2534920" cy="1598930"/>
                  <wp:effectExtent l="0" t="0" r="5080" b="127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12"/>
                          <a:stretch>
                            <a:fillRect/>
                          </a:stretch>
                        </pic:blipFill>
                        <pic:spPr>
                          <a:xfrm>
                            <a:off x="0" y="0"/>
                            <a:ext cx="2534920" cy="1598930"/>
                          </a:xfrm>
                          <a:prstGeom prst="rect">
                            <a:avLst/>
                          </a:prstGeom>
                          <a:noFill/>
                          <a:ln>
                            <a:noFill/>
                          </a:ln>
                        </pic:spPr>
                      </pic:pic>
                    </a:graphicData>
                  </a:graphic>
                </wp:inline>
              </w:drawing>
            </w:r>
          </w:p>
          <w:p>
            <w:pPr>
              <w:pStyle w:val="6"/>
              <w:keepNext w:val="0"/>
              <w:keepLines w:val="0"/>
              <w:pageBreakBefore w:val="0"/>
              <w:widowControl w:val="0"/>
              <w:kinsoku/>
              <w:wordWrap/>
              <w:overflowPunct/>
              <w:topLinePunct w:val="0"/>
              <w:autoSpaceDE/>
              <w:autoSpaceDN/>
              <w:bidi w:val="0"/>
              <w:adjustRightInd/>
              <w:snapToGrid/>
              <w:spacing w:before="120" w:after="0" w:line="240" w:lineRule="auto"/>
              <w:ind w:firstLine="400" w:firstLineChars="200"/>
              <w:textAlignment w:val="auto"/>
              <w:rPr>
                <w:rFonts w:hint="eastAsia" w:eastAsia="宋体"/>
                <w:lang w:val="en-US" w:eastAsia="zh-CN"/>
              </w:rPr>
            </w:pPr>
            <w:r>
              <w:rPr>
                <w:rFonts w:hint="eastAsia" w:eastAsia="宋体"/>
                <w:lang w:val="en-US" w:eastAsia="zh-CN"/>
              </w:rPr>
              <w:t>提供蒸汽采购发票：</w:t>
            </w:r>
          </w:p>
          <w:p>
            <w:pPr>
              <w:pStyle w:val="6"/>
              <w:keepNext w:val="0"/>
              <w:keepLines w:val="0"/>
              <w:pageBreakBefore w:val="0"/>
              <w:widowControl w:val="0"/>
              <w:kinsoku/>
              <w:wordWrap/>
              <w:overflowPunct/>
              <w:topLinePunct w:val="0"/>
              <w:autoSpaceDE/>
              <w:autoSpaceDN/>
              <w:bidi w:val="0"/>
              <w:adjustRightInd/>
              <w:snapToGrid/>
              <w:spacing w:before="120" w:after="0" w:line="240" w:lineRule="auto"/>
              <w:ind w:firstLine="400" w:firstLineChars="200"/>
              <w:textAlignment w:val="auto"/>
              <w:rPr>
                <w:rFonts w:hint="default" w:eastAsia="宋体"/>
                <w:lang w:val="en-US" w:eastAsia="zh-CN"/>
              </w:rPr>
            </w:pPr>
            <w:r>
              <w:rPr>
                <w:rFonts w:hint="eastAsia" w:eastAsia="宋体"/>
                <w:lang w:val="en-US" w:eastAsia="zh-CN"/>
              </w:rPr>
              <w:t>发票</w:t>
            </w:r>
            <w:r>
              <w:rPr>
                <w:rFonts w:hint="eastAsia"/>
                <w:lang w:val="en-US" w:eastAsia="zh-CN"/>
              </w:rPr>
              <w:t>2021年11月14日编号02270874    2021年3月25日编号02333007</w:t>
            </w:r>
            <w:r>
              <w:rPr>
                <w:rFonts w:hint="eastAsia" w:eastAsia="宋体"/>
                <w:lang w:val="en-US" w:eastAsia="zh-CN"/>
              </w:rPr>
              <w:t xml:space="preserve">  </w:t>
            </w:r>
            <w:r>
              <w:drawing>
                <wp:inline distT="0" distB="0" distL="114300" distR="114300">
                  <wp:extent cx="1518920" cy="2503805"/>
                  <wp:effectExtent l="0" t="0" r="10795" b="5080"/>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13"/>
                          <a:stretch>
                            <a:fillRect/>
                          </a:stretch>
                        </pic:blipFill>
                        <pic:spPr>
                          <a:xfrm rot="16200000">
                            <a:off x="0" y="0"/>
                            <a:ext cx="1518920" cy="2503805"/>
                          </a:xfrm>
                          <a:prstGeom prst="rect">
                            <a:avLst/>
                          </a:prstGeom>
                          <a:noFill/>
                          <a:ln>
                            <a:noFill/>
                          </a:ln>
                        </pic:spPr>
                      </pic:pic>
                    </a:graphicData>
                  </a:graphic>
                </wp:inline>
              </w:drawing>
            </w:r>
            <w:r>
              <w:rPr>
                <w:rFonts w:hint="eastAsia" w:eastAsia="宋体"/>
                <w:lang w:val="en-US" w:eastAsia="zh-CN"/>
              </w:rPr>
              <w:t xml:space="preserve">   </w:t>
            </w:r>
            <w:r>
              <w:drawing>
                <wp:inline distT="0" distB="0" distL="114300" distR="114300">
                  <wp:extent cx="1483995" cy="2519680"/>
                  <wp:effectExtent l="0" t="0" r="7620" b="1905"/>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14"/>
                          <a:stretch>
                            <a:fillRect/>
                          </a:stretch>
                        </pic:blipFill>
                        <pic:spPr>
                          <a:xfrm rot="16200000">
                            <a:off x="0" y="0"/>
                            <a:ext cx="1483995" cy="2519680"/>
                          </a:xfrm>
                          <a:prstGeom prst="rect">
                            <a:avLst/>
                          </a:prstGeom>
                          <a:noFill/>
                          <a:ln>
                            <a:noFill/>
                          </a:ln>
                        </pic:spPr>
                      </pic:pic>
                    </a:graphicData>
                  </a:graphic>
                </wp:inline>
              </w:drawing>
            </w:r>
          </w:p>
          <w:p>
            <w:pPr>
              <w:pStyle w:val="6"/>
              <w:keepNext w:val="0"/>
              <w:keepLines w:val="0"/>
              <w:pageBreakBefore w:val="0"/>
              <w:widowControl w:val="0"/>
              <w:kinsoku/>
              <w:wordWrap/>
              <w:overflowPunct/>
              <w:topLinePunct w:val="0"/>
              <w:autoSpaceDE/>
              <w:autoSpaceDN/>
              <w:bidi w:val="0"/>
              <w:adjustRightInd/>
              <w:snapToGrid/>
              <w:spacing w:before="120" w:after="0" w:line="240" w:lineRule="auto"/>
              <w:ind w:firstLine="400" w:firstLineChars="200"/>
              <w:textAlignment w:val="auto"/>
              <w:rPr>
                <w:rFonts w:hint="default"/>
                <w:lang w:val="en-US" w:eastAsia="zh-CN"/>
              </w:rPr>
            </w:pPr>
          </w:p>
          <w:p>
            <w:pPr>
              <w:pStyle w:val="6"/>
              <w:keepNext w:val="0"/>
              <w:keepLines w:val="0"/>
              <w:pageBreakBefore w:val="0"/>
              <w:widowControl w:val="0"/>
              <w:kinsoku/>
              <w:wordWrap/>
              <w:overflowPunct/>
              <w:topLinePunct w:val="0"/>
              <w:autoSpaceDE/>
              <w:autoSpaceDN/>
              <w:bidi w:val="0"/>
              <w:adjustRightInd/>
              <w:snapToGrid/>
              <w:spacing w:before="120" w:after="0" w:line="240" w:lineRule="auto"/>
              <w:ind w:firstLine="400" w:firstLineChars="200"/>
              <w:textAlignment w:val="auto"/>
              <w:rPr>
                <w:rFonts w:hint="eastAsia" w:eastAsia="宋体"/>
                <w:lang w:val="en-US" w:eastAsia="zh-CN"/>
              </w:rPr>
            </w:pPr>
            <w:r>
              <w:rPr>
                <w:rFonts w:hint="eastAsia" w:eastAsia="宋体"/>
                <w:lang w:val="en-US" w:eastAsia="zh-CN"/>
              </w:rPr>
              <w:t>提供设备采购的发票;购买拉幅定型机发票25702518、购买拉幅定型机发票25702520、购买电烧毛单元发票14787445等，如下。</w:t>
            </w:r>
          </w:p>
          <w:p>
            <w:pPr>
              <w:pStyle w:val="6"/>
              <w:keepNext w:val="0"/>
              <w:keepLines w:val="0"/>
              <w:pageBreakBefore w:val="0"/>
              <w:widowControl w:val="0"/>
              <w:kinsoku/>
              <w:wordWrap/>
              <w:overflowPunct/>
              <w:topLinePunct w:val="0"/>
              <w:autoSpaceDE/>
              <w:autoSpaceDN/>
              <w:bidi w:val="0"/>
              <w:adjustRightInd/>
              <w:snapToGrid/>
              <w:spacing w:before="120" w:after="0" w:line="240" w:lineRule="auto"/>
              <w:ind w:firstLine="400" w:firstLineChars="200"/>
              <w:textAlignment w:val="auto"/>
            </w:pPr>
            <w:r>
              <w:drawing>
                <wp:inline distT="0" distB="0" distL="114300" distR="114300">
                  <wp:extent cx="2710815" cy="1410335"/>
                  <wp:effectExtent l="0" t="0" r="6985" b="1206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5"/>
                          <a:stretch>
                            <a:fillRect/>
                          </a:stretch>
                        </pic:blipFill>
                        <pic:spPr>
                          <a:xfrm>
                            <a:off x="0" y="0"/>
                            <a:ext cx="2710815" cy="1410335"/>
                          </a:xfrm>
                          <a:prstGeom prst="rect">
                            <a:avLst/>
                          </a:prstGeom>
                          <a:noFill/>
                          <a:ln>
                            <a:noFill/>
                          </a:ln>
                        </pic:spPr>
                      </pic:pic>
                    </a:graphicData>
                  </a:graphic>
                </wp:inline>
              </w:drawing>
            </w:r>
            <w:r>
              <w:rPr>
                <w:rFonts w:hint="eastAsia" w:eastAsia="宋体"/>
                <w:lang w:val="en-US" w:eastAsia="zh-CN"/>
              </w:rPr>
              <w:t xml:space="preserve">   </w:t>
            </w:r>
            <w:r>
              <w:drawing>
                <wp:inline distT="0" distB="0" distL="114300" distR="114300">
                  <wp:extent cx="2541270" cy="1403985"/>
                  <wp:effectExtent l="0" t="0" r="11430" b="571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6"/>
                          <a:stretch>
                            <a:fillRect/>
                          </a:stretch>
                        </pic:blipFill>
                        <pic:spPr>
                          <a:xfrm>
                            <a:off x="0" y="0"/>
                            <a:ext cx="2541270" cy="1403985"/>
                          </a:xfrm>
                          <a:prstGeom prst="rect">
                            <a:avLst/>
                          </a:prstGeom>
                          <a:noFill/>
                          <a:ln>
                            <a:noFill/>
                          </a:ln>
                        </pic:spPr>
                      </pic:pic>
                    </a:graphicData>
                  </a:graphic>
                </wp:inline>
              </w:drawing>
            </w:r>
          </w:p>
          <w:p>
            <w:pPr>
              <w:pStyle w:val="6"/>
              <w:keepNext w:val="0"/>
              <w:keepLines w:val="0"/>
              <w:pageBreakBefore w:val="0"/>
              <w:widowControl w:val="0"/>
              <w:kinsoku/>
              <w:wordWrap/>
              <w:overflowPunct/>
              <w:topLinePunct w:val="0"/>
              <w:autoSpaceDE/>
              <w:autoSpaceDN/>
              <w:bidi w:val="0"/>
              <w:adjustRightInd/>
              <w:snapToGrid/>
              <w:spacing w:before="120" w:after="0" w:line="240" w:lineRule="auto"/>
              <w:ind w:firstLine="400" w:firstLineChars="200"/>
              <w:textAlignment w:val="auto"/>
            </w:pPr>
            <w:bookmarkStart w:id="4" w:name="_GoBack"/>
            <w:r>
              <w:drawing>
                <wp:inline distT="0" distB="0" distL="114300" distR="114300">
                  <wp:extent cx="3209290" cy="1601470"/>
                  <wp:effectExtent l="0" t="0" r="3810" b="1143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7"/>
                          <a:stretch>
                            <a:fillRect/>
                          </a:stretch>
                        </pic:blipFill>
                        <pic:spPr>
                          <a:xfrm>
                            <a:off x="0" y="0"/>
                            <a:ext cx="3209290" cy="1601470"/>
                          </a:xfrm>
                          <a:prstGeom prst="rect">
                            <a:avLst/>
                          </a:prstGeom>
                          <a:noFill/>
                          <a:ln>
                            <a:noFill/>
                          </a:ln>
                        </pic:spPr>
                      </pic:pic>
                    </a:graphicData>
                  </a:graphic>
                </wp:inline>
              </w:drawing>
            </w:r>
            <w:bookmarkEnd w:id="4"/>
          </w:p>
          <w:p>
            <w:pPr>
              <w:pStyle w:val="6"/>
              <w:keepNext w:val="0"/>
              <w:keepLines w:val="0"/>
              <w:pageBreakBefore w:val="0"/>
              <w:widowControl w:val="0"/>
              <w:kinsoku/>
              <w:wordWrap/>
              <w:overflowPunct/>
              <w:topLinePunct w:val="0"/>
              <w:autoSpaceDE/>
              <w:autoSpaceDN/>
              <w:bidi w:val="0"/>
              <w:adjustRightInd/>
              <w:snapToGrid/>
              <w:spacing w:before="120" w:after="0" w:line="240" w:lineRule="auto"/>
              <w:ind w:firstLine="400" w:firstLineChars="200"/>
              <w:textAlignment w:val="auto"/>
              <w:rPr>
                <w:rFonts w:hint="default" w:eastAsia="宋体"/>
                <w:lang w:val="en-US" w:eastAsia="zh-CN"/>
              </w:rPr>
            </w:pPr>
            <w:r>
              <w:rPr>
                <w:rFonts w:hint="eastAsia" w:eastAsia="宋体"/>
                <w:lang w:val="en-US" w:eastAsia="zh-CN"/>
              </w:rPr>
              <w:t>通过数据显示，财务部在节能资金支持上控制符合要求。</w:t>
            </w: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2160" w:type="dxa"/>
            <w:vAlign w:val="top"/>
          </w:tcPr>
          <w:p>
            <w:pPr>
              <w:rPr>
                <w:rFonts w:hint="eastAsia" w:ascii="宋体" w:hAnsi="宋体" w:eastAsia="宋体" w:cs="Times New Roman"/>
                <w:b/>
                <w:bCs/>
                <w:kern w:val="2"/>
                <w:sz w:val="21"/>
                <w:szCs w:val="21"/>
                <w:lang w:val="en-US" w:eastAsia="zh-CN" w:bidi="ar-SA"/>
              </w:rPr>
            </w:pPr>
            <w:r>
              <w:rPr>
                <w:rFonts w:hint="eastAsia" w:ascii="宋体" w:hAnsi="宋体" w:eastAsia="宋体" w:cs="Times New Roman"/>
                <w:b/>
                <w:bCs/>
                <w:sz w:val="21"/>
                <w:szCs w:val="21"/>
                <w:lang w:val="en-US" w:eastAsia="zh-CN"/>
              </w:rPr>
              <w:t>不符合及纠正措施</w:t>
            </w:r>
          </w:p>
        </w:tc>
        <w:tc>
          <w:tcPr>
            <w:tcW w:w="960" w:type="dxa"/>
            <w:vAlign w:val="top"/>
          </w:tcPr>
          <w:p>
            <w:pPr>
              <w:rPr>
                <w:rFonts w:hint="eastAsia" w:ascii="宋体" w:hAnsi="宋体" w:eastAsia="宋体" w:cs="Times New Roman"/>
                <w:b/>
                <w:bCs/>
                <w:kern w:val="2"/>
                <w:sz w:val="21"/>
                <w:szCs w:val="21"/>
                <w:lang w:val="en-US" w:eastAsia="zh-CN" w:bidi="ar-SA"/>
              </w:rPr>
            </w:pPr>
            <w:r>
              <w:rPr>
                <w:rFonts w:hint="eastAsia" w:ascii="宋体" w:hAnsi="宋体" w:cs="Times New Roman"/>
                <w:b/>
                <w:bCs/>
                <w:sz w:val="21"/>
                <w:szCs w:val="21"/>
                <w:lang w:val="en-US" w:eastAsia="zh-CN"/>
              </w:rPr>
              <w:t>10.1</w:t>
            </w:r>
          </w:p>
        </w:tc>
        <w:tc>
          <w:tcPr>
            <w:tcW w:w="10004" w:type="dxa"/>
            <w:vAlign w:val="top"/>
          </w:tcPr>
          <w:p>
            <w:pPr>
              <w:pStyle w:val="14"/>
              <w:keepNext w:val="0"/>
              <w:keepLines w:val="0"/>
              <w:pageBreakBefore w:val="0"/>
              <w:widowControl w:val="0"/>
              <w:kinsoku/>
              <w:wordWrap/>
              <w:overflowPunct/>
              <w:topLinePunct w:val="0"/>
              <w:autoSpaceDE/>
              <w:autoSpaceDN/>
              <w:bidi w:val="0"/>
              <w:adjustRightInd/>
              <w:snapToGrid/>
              <w:spacing w:before="157" w:beforeLines="50" w:line="240" w:lineRule="auto"/>
              <w:textAlignment w:val="auto"/>
              <w:rPr>
                <w:rFonts w:hint="eastAsia" w:ascii="Courier New" w:hAnsi="Courier New" w:eastAsia="宋体" w:cs="Courier New"/>
                <w:bCs w:val="0"/>
                <w:spacing w:val="0"/>
                <w:kern w:val="2"/>
                <w:sz w:val="20"/>
                <w:szCs w:val="20"/>
                <w:lang w:val="en-US" w:eastAsia="zh-CN" w:bidi="ar-SA"/>
              </w:rPr>
            </w:pPr>
            <w:r>
              <w:rPr>
                <w:rFonts w:hint="eastAsia" w:ascii="Courier New" w:hAnsi="Courier New" w:eastAsia="宋体" w:cs="Courier New"/>
                <w:bCs w:val="0"/>
                <w:spacing w:val="0"/>
                <w:kern w:val="2"/>
                <w:sz w:val="20"/>
                <w:szCs w:val="20"/>
                <w:lang w:val="en-US" w:eastAsia="zh-CN" w:bidi="ar-SA"/>
              </w:rPr>
              <w:t>内审不符合不涉及财务，公司的问题项已落实整改措施。纠正措施基本到位</w:t>
            </w:r>
          </w:p>
          <w:p>
            <w:pPr>
              <w:pStyle w:val="14"/>
              <w:keepNext w:val="0"/>
              <w:keepLines w:val="0"/>
              <w:pageBreakBefore w:val="0"/>
              <w:widowControl w:val="0"/>
              <w:kinsoku/>
              <w:wordWrap/>
              <w:overflowPunct/>
              <w:topLinePunct w:val="0"/>
              <w:autoSpaceDE/>
              <w:autoSpaceDN/>
              <w:bidi w:val="0"/>
              <w:adjustRightInd/>
              <w:snapToGrid/>
              <w:spacing w:before="157" w:beforeLines="50" w:line="240" w:lineRule="auto"/>
              <w:textAlignment w:val="auto"/>
              <w:rPr>
                <w:rFonts w:hint="eastAsia" w:ascii="Times New Roman" w:hAnsi="Times New Roman" w:eastAsia="宋体" w:cs="Times New Roman"/>
                <w:bCs/>
                <w:spacing w:val="10"/>
                <w:kern w:val="2"/>
                <w:sz w:val="21"/>
                <w:lang w:val="en-US" w:eastAsia="zh-CN" w:bidi="ar-SA"/>
              </w:rPr>
            </w:pPr>
            <w:r>
              <w:rPr>
                <w:rFonts w:hint="eastAsia" w:ascii="Courier New" w:hAnsi="Courier New" w:eastAsia="宋体" w:cs="Courier New"/>
                <w:bCs w:val="0"/>
                <w:spacing w:val="0"/>
                <w:kern w:val="2"/>
                <w:sz w:val="20"/>
                <w:szCs w:val="20"/>
                <w:lang w:val="en-US" w:eastAsia="zh-CN" w:bidi="ar-SA"/>
              </w:rPr>
              <w:t>基本符合要求。</w:t>
            </w:r>
          </w:p>
        </w:tc>
        <w:tc>
          <w:tcPr>
            <w:tcW w:w="1585" w:type="dxa"/>
          </w:tcPr>
          <w:p>
            <w:pPr>
              <w:rPr>
                <w:rFonts w:hint="eastAsia"/>
                <w:lang w:val="en-US" w:eastAsia="zh-CN"/>
              </w:rPr>
            </w:pPr>
          </w:p>
        </w:tc>
      </w:tr>
    </w:tbl>
    <w:p>
      <w:pPr>
        <w:jc w:val="both"/>
      </w:pPr>
      <w:r>
        <w:rPr>
          <w:rFonts w:hint="eastAsia"/>
        </w:rPr>
        <w:t>说明：不符合标注N</w:t>
      </w:r>
    </w:p>
    <w:sectPr>
      <w:headerReference r:id="rId3" w:type="default"/>
      <w:footerReference r:id="rId4" w:type="default"/>
      <w:pgSz w:w="16838" w:h="11906" w:orient="landscape"/>
      <w:pgMar w:top="1440" w:right="1080" w:bottom="1440" w:left="1080" w:header="680"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华文细黑">
    <w:panose1 w:val="02010600040101010101"/>
    <w:charset w:val="86"/>
    <w:family w:val="auto"/>
    <w:pitch w:val="default"/>
    <w:sig w:usb0="00000287" w:usb1="080F0000" w:usb2="00000000" w:usb3="00000000" w:csb0="0004009F" w:csb1="DFD70000"/>
  </w:font>
  <w:font w:name="PMingLiU">
    <w:altName w:val="PMingLiU-ExtB"/>
    <w:panose1 w:val="02020500000000000000"/>
    <w:charset w:val="88"/>
    <w:family w:val="roman"/>
    <w:pitch w:val="default"/>
    <w:sig w:usb0="00000000" w:usb1="00000000" w:usb2="00000016" w:usb3="00000000" w:csb0="00100001" w:csb1="00000000"/>
  </w:font>
  <w:font w:name="楷体_GB2312">
    <w:altName w:val="楷体"/>
    <w:panose1 w:val="02010609030101010101"/>
    <w:charset w:val="86"/>
    <w:family w:val="modern"/>
    <w:pitch w:val="default"/>
    <w:sig w:usb0="00000000" w:usb1="00000000" w:usb2="00000000" w:usb3="00000000" w:csb0="00040000" w:csb1="00000000"/>
  </w:font>
  <w:font w:name="隶书">
    <w:panose1 w:val="0201050906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PMingLiU-ExtB">
    <w:panose1 w:val="02020500000000000000"/>
    <w:charset w:val="88"/>
    <w:family w:val="auto"/>
    <w:pitch w:val="default"/>
    <w:sig w:usb0="8000002F" w:usb1="02000008" w:usb2="00000000" w:usb3="00000000" w:csb0="0010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9"/>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tabs>
        <w:tab w:val="left" w:pos="8910"/>
        <w:tab w:val="left" w:pos="9142"/>
        <w:tab w:val="clear" w:pos="4153"/>
      </w:tabs>
      <w:spacing w:line="320" w:lineRule="exact"/>
      <w:ind w:left="-86" w:leftChars="-41" w:firstLine="810" w:firstLineChars="450"/>
      <w:jc w:val="left"/>
      <w:rPr>
        <w:rStyle w:val="18"/>
        <w:rFonts w:hint="default"/>
      </w:rPr>
    </w:pPr>
    <w:r>
      <mc:AlternateContent>
        <mc:Choice Requires="wps">
          <w:drawing>
            <wp:anchor distT="0" distB="0" distL="114300" distR="114300" simplePos="0" relativeHeight="251658240" behindDoc="0" locked="0" layoutInCell="1" allowOverlap="1">
              <wp:simplePos x="0" y="0"/>
              <wp:positionH relativeFrom="column">
                <wp:posOffset>7879080</wp:posOffset>
              </wp:positionH>
              <wp:positionV relativeFrom="paragraph">
                <wp:posOffset>159385</wp:posOffset>
              </wp:positionV>
              <wp:extent cx="1304290" cy="256540"/>
              <wp:effectExtent l="0" t="0" r="3810" b="10160"/>
              <wp:wrapNone/>
              <wp:docPr id="2" name="文本框 1"/>
              <wp:cNvGraphicFramePr/>
              <a:graphic xmlns:a="http://schemas.openxmlformats.org/drawingml/2006/main">
                <a:graphicData uri="http://schemas.microsoft.com/office/word/2010/wordprocessingShape">
                  <wps:wsp>
                    <wps:cNvSpPr txBox="1"/>
                    <wps:spPr>
                      <a:xfrm>
                        <a:off x="0" y="0"/>
                        <a:ext cx="1304290" cy="256540"/>
                      </a:xfrm>
                      <a:prstGeom prst="rect">
                        <a:avLst/>
                      </a:prstGeom>
                      <a:solidFill>
                        <a:srgbClr val="FFFFFF"/>
                      </a:solidFill>
                      <a:ln>
                        <a:noFill/>
                      </a:ln>
                    </wps:spPr>
                    <wps:txbx>
                      <w:txbxContent>
                        <w:p>
                          <w:pPr>
                            <w:rPr>
                              <w:rFonts w:hint="eastAsia"/>
                              <w:sz w:val="18"/>
                              <w:szCs w:val="18"/>
                            </w:rPr>
                          </w:pPr>
                          <w:r>
                            <w:rPr>
                              <w:rFonts w:hint="eastAsia"/>
                              <w:sz w:val="18"/>
                              <w:szCs w:val="18"/>
                            </w:rPr>
                            <w:t>ISC-B-II-12(05版）</w:t>
                          </w:r>
                        </w:p>
                      </w:txbxContent>
                    </wps:txbx>
                    <wps:bodyPr upright="1"/>
                  </wps:wsp>
                </a:graphicData>
              </a:graphic>
            </wp:anchor>
          </w:drawing>
        </mc:Choice>
        <mc:Fallback>
          <w:pict>
            <v:shape id="文本框 1" o:spid="_x0000_s1026" o:spt="202" type="#_x0000_t202" style="position:absolute;left:0pt;margin-left:620.4pt;margin-top:12.55pt;height:20.2pt;width:102.7pt;z-index:251658240;mso-width-relative:page;mso-height-relative:page;" fillcolor="#FFFFFF" filled="t" stroked="f" coordsize="21600,21600" o:gfxdata="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CQfhE2AAAAAsBAAAPAAAAAAAAAAEAIAAAACIAAABkcnMvZG93bnJldi54&#10;bWxQSwECFAAUAAAACACHTuJAhYp7ksEBAAB3AwAADgAAAAAAAAABACAAAAAnAQAAZHJzL2Uyb0Rv&#10;Yy54bWxQSwUGAAAAAAYABgBZAQAAWgUAAAAA&#10;">
              <v:fill on="t" focussize="0,0"/>
              <v:stroke on="f"/>
              <v:imagedata o:title=""/>
              <o:lock v:ext="edit" aspectratio="f"/>
              <v:textbox>
                <w:txbxContent>
                  <w:p>
                    <w:pPr>
                      <w:rPr>
                        <w:rFonts w:hint="eastAsia"/>
                        <w:sz w:val="18"/>
                        <w:szCs w:val="18"/>
                      </w:rPr>
                    </w:pPr>
                    <w:r>
                      <w:rPr>
                        <w:rFonts w:hint="eastAsia"/>
                        <w:sz w:val="18"/>
                        <w:szCs w:val="18"/>
                      </w:rPr>
                      <w:t>ISC-B-II-12(05版）</w:t>
                    </w:r>
                  </w:p>
                </w:txbxContent>
              </v:textbox>
            </v:shape>
          </w:pict>
        </mc:Fallback>
      </mc:AlternateContent>
    </w:r>
    <w:r>
      <w:drawing>
        <wp:anchor distT="0" distB="0" distL="114300" distR="114300" simplePos="0" relativeHeight="251659264"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8"/>
        <w:rFonts w:hint="default"/>
      </w:rPr>
      <w:t>北京国标联合认证有限公司</w:t>
    </w:r>
    <w:r>
      <w:rPr>
        <w:rStyle w:val="18"/>
        <w:rFonts w:hint="default"/>
      </w:rPr>
      <w:tab/>
    </w:r>
    <w:r>
      <w:rPr>
        <w:rStyle w:val="18"/>
        <w:rFonts w:hint="default"/>
      </w:rPr>
      <w:tab/>
    </w:r>
    <w:r>
      <w:rPr>
        <w:rStyle w:val="18"/>
        <w:rFonts w:hint="default"/>
      </w:rPr>
      <w:tab/>
    </w:r>
  </w:p>
  <w:p>
    <w:pPr>
      <w:pStyle w:val="10"/>
      <w:pBdr>
        <w:bottom w:val="none" w:color="auto" w:sz="0" w:space="0"/>
      </w:pBdr>
      <w:spacing w:line="320" w:lineRule="exact"/>
      <w:ind w:firstLine="756" w:firstLineChars="400"/>
      <w:jc w:val="left"/>
    </w:pPr>
    <w:r>
      <w:rPr>
        <w:rStyle w:val="18"/>
        <w:rFonts w:hint="default"/>
        <w:w w:val="90"/>
      </w:rPr>
      <w:t>Beijing International Standard united Certification Co.,Ltd.</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76103ED"/>
    <w:rsid w:val="0A3242D3"/>
    <w:rsid w:val="0C2571E7"/>
    <w:rsid w:val="16214728"/>
    <w:rsid w:val="1C620DB3"/>
    <w:rsid w:val="210F3161"/>
    <w:rsid w:val="2DBE24AF"/>
    <w:rsid w:val="2F9E7840"/>
    <w:rsid w:val="3081006F"/>
    <w:rsid w:val="31303222"/>
    <w:rsid w:val="352610F9"/>
    <w:rsid w:val="3554320A"/>
    <w:rsid w:val="38EE1AA1"/>
    <w:rsid w:val="3CC1712E"/>
    <w:rsid w:val="40CA7539"/>
    <w:rsid w:val="423B055B"/>
    <w:rsid w:val="43373BE8"/>
    <w:rsid w:val="4A5E710A"/>
    <w:rsid w:val="4D9B6CBD"/>
    <w:rsid w:val="4DB04522"/>
    <w:rsid w:val="4F91189A"/>
    <w:rsid w:val="51104AF3"/>
    <w:rsid w:val="53897D52"/>
    <w:rsid w:val="570F23A9"/>
    <w:rsid w:val="58DF3FA9"/>
    <w:rsid w:val="599A19ED"/>
    <w:rsid w:val="5AAB65B8"/>
    <w:rsid w:val="5D006001"/>
    <w:rsid w:val="5E846905"/>
    <w:rsid w:val="63DC54D6"/>
    <w:rsid w:val="6428342F"/>
    <w:rsid w:val="651C10B0"/>
    <w:rsid w:val="6939582B"/>
    <w:rsid w:val="6A8D5C2D"/>
    <w:rsid w:val="6F6674CD"/>
    <w:rsid w:val="7255585A"/>
    <w:rsid w:val="76BF2221"/>
    <w:rsid w:val="7D4420B1"/>
    <w:rsid w:val="7EF8371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iPriority="99" w:semiHidden="0"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after="200" w:line="276" w:lineRule="auto"/>
      <w:jc w:val="both"/>
    </w:pPr>
    <w:rPr>
      <w:rFonts w:ascii="Times New Roman" w:hAnsi="Times New Roman" w:eastAsia="宋体" w:cs="Times New Roman"/>
      <w:kern w:val="2"/>
      <w:sz w:val="21"/>
      <w:lang w:val="en-US" w:eastAsia="zh-CN" w:bidi="ar-SA"/>
    </w:rPr>
  </w:style>
  <w:style w:type="paragraph" w:styleId="3">
    <w:name w:val="heading 2"/>
    <w:basedOn w:val="1"/>
    <w:next w:val="1"/>
    <w:qFormat/>
    <w:uiPriority w:val="9"/>
    <w:pPr>
      <w:keepNext/>
      <w:keepLines/>
      <w:spacing w:line="360" w:lineRule="auto"/>
      <w:ind w:firstLine="200" w:firstLineChars="200"/>
      <w:outlineLvl w:val="1"/>
    </w:pPr>
    <w:rPr>
      <w:rFonts w:ascii="Cambria" w:hAnsi="Cambria" w:eastAsia="宋体" w:cs="Times New Roman"/>
      <w:b/>
      <w:bCs/>
      <w:sz w:val="24"/>
      <w:szCs w:val="32"/>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customStyle="1" w:styleId="2">
    <w:name w:val="Style1"/>
    <w:qFormat/>
    <w:uiPriority w:val="0"/>
    <w:pPr>
      <w:spacing w:after="120"/>
      <w:jc w:val="both"/>
    </w:pPr>
    <w:rPr>
      <w:rFonts w:ascii="Times New Roman" w:hAnsi="Times New Roman" w:eastAsia="Times New Roman" w:cs="Times New Roman"/>
      <w:color w:val="000000"/>
      <w:spacing w:val="-3"/>
      <w:sz w:val="24"/>
      <w:szCs w:val="24"/>
      <w:lang w:val="en-US" w:eastAsia="zh-CN" w:bidi="ar-SA"/>
    </w:rPr>
  </w:style>
  <w:style w:type="paragraph" w:styleId="4">
    <w:name w:val="Body Text"/>
    <w:basedOn w:val="1"/>
    <w:qFormat/>
    <w:uiPriority w:val="0"/>
    <w:rPr>
      <w:rFonts w:eastAsia="华文细黑"/>
      <w:sz w:val="24"/>
    </w:rPr>
  </w:style>
  <w:style w:type="paragraph" w:styleId="5">
    <w:name w:val="Body Text Indent"/>
    <w:basedOn w:val="1"/>
    <w:qFormat/>
    <w:uiPriority w:val="0"/>
    <w:pPr>
      <w:spacing w:line="500" w:lineRule="exact"/>
      <w:ind w:firstLine="600"/>
    </w:pPr>
    <w:rPr>
      <w:sz w:val="30"/>
    </w:rPr>
  </w:style>
  <w:style w:type="paragraph" w:styleId="6">
    <w:name w:val="Plain Text"/>
    <w:basedOn w:val="1"/>
    <w:qFormat/>
    <w:uiPriority w:val="0"/>
    <w:pPr>
      <w:jc w:val="left"/>
    </w:pPr>
    <w:rPr>
      <w:rFonts w:ascii="Courier New" w:hAnsi="Courier New" w:eastAsia="PMingLiU" w:cs="Courier New"/>
      <w:sz w:val="20"/>
      <w:szCs w:val="20"/>
      <w:lang w:eastAsia="zh-TW"/>
    </w:rPr>
  </w:style>
  <w:style w:type="paragraph" w:styleId="7">
    <w:name w:val="Body Text Indent 2"/>
    <w:basedOn w:val="1"/>
    <w:unhideWhenUsed/>
    <w:qFormat/>
    <w:uiPriority w:val="99"/>
    <w:pPr>
      <w:spacing w:beforeLines="0" w:afterLines="0" w:line="520" w:lineRule="exact"/>
      <w:ind w:firstLine="600" w:firstLineChars="200"/>
    </w:pPr>
    <w:rPr>
      <w:rFonts w:hint="eastAsia" w:ascii="楷体_GB2312" w:eastAsia="楷体_GB2312"/>
      <w:sz w:val="30"/>
      <w:szCs w:val="24"/>
    </w:rPr>
  </w:style>
  <w:style w:type="paragraph" w:styleId="8">
    <w:name w:val="Balloon Text"/>
    <w:basedOn w:val="1"/>
    <w:link w:val="17"/>
    <w:semiHidden/>
    <w:unhideWhenUsed/>
    <w:qFormat/>
    <w:uiPriority w:val="99"/>
    <w:rPr>
      <w:sz w:val="18"/>
      <w:szCs w:val="18"/>
    </w:rPr>
  </w:style>
  <w:style w:type="paragraph" w:styleId="9">
    <w:name w:val="footer"/>
    <w:basedOn w:val="1"/>
    <w:link w:val="16"/>
    <w:unhideWhenUsed/>
    <w:qFormat/>
    <w:uiPriority w:val="99"/>
    <w:pPr>
      <w:tabs>
        <w:tab w:val="center" w:pos="4153"/>
        <w:tab w:val="right" w:pos="8306"/>
      </w:tabs>
      <w:snapToGrid w:val="0"/>
      <w:jc w:val="left"/>
    </w:pPr>
    <w:rPr>
      <w:sz w:val="18"/>
      <w:szCs w:val="18"/>
    </w:rPr>
  </w:style>
  <w:style w:type="paragraph" w:styleId="10">
    <w:name w:val="header"/>
    <w:basedOn w:val="1"/>
    <w:link w:val="15"/>
    <w:unhideWhenUsed/>
    <w:qFormat/>
    <w:uiPriority w:val="0"/>
    <w:pPr>
      <w:pBdr>
        <w:bottom w:val="single" w:color="auto" w:sz="6" w:space="1"/>
      </w:pBdr>
      <w:tabs>
        <w:tab w:val="center" w:pos="4153"/>
        <w:tab w:val="right" w:pos="8306"/>
      </w:tabs>
      <w:snapToGrid w:val="0"/>
      <w:jc w:val="center"/>
    </w:pPr>
    <w:rPr>
      <w:sz w:val="18"/>
      <w:szCs w:val="18"/>
    </w:rPr>
  </w:style>
  <w:style w:type="paragraph" w:styleId="11">
    <w:name w:val="Body Text First Indent"/>
    <w:basedOn w:val="4"/>
    <w:unhideWhenUsed/>
    <w:qFormat/>
    <w:uiPriority w:val="99"/>
    <w:pPr>
      <w:ind w:firstLine="420" w:firstLineChars="100"/>
    </w:pPr>
  </w:style>
  <w:style w:type="paragraph" w:customStyle="1" w:styleId="14">
    <w:name w:val="表格文字"/>
    <w:basedOn w:val="1"/>
    <w:qFormat/>
    <w:uiPriority w:val="0"/>
    <w:pPr>
      <w:spacing w:before="25" w:after="25"/>
    </w:pPr>
    <w:rPr>
      <w:bCs/>
      <w:spacing w:val="10"/>
    </w:rPr>
  </w:style>
  <w:style w:type="character" w:customStyle="1" w:styleId="15">
    <w:name w:val="页眉 字符"/>
    <w:basedOn w:val="13"/>
    <w:link w:val="10"/>
    <w:qFormat/>
    <w:uiPriority w:val="99"/>
    <w:rPr>
      <w:rFonts w:ascii="Times New Roman" w:hAnsi="Times New Roman" w:eastAsia="宋体" w:cs="Times New Roman"/>
      <w:sz w:val="18"/>
      <w:szCs w:val="18"/>
    </w:rPr>
  </w:style>
  <w:style w:type="character" w:customStyle="1" w:styleId="16">
    <w:name w:val="页脚 字符"/>
    <w:basedOn w:val="13"/>
    <w:link w:val="9"/>
    <w:qFormat/>
    <w:uiPriority w:val="99"/>
    <w:rPr>
      <w:rFonts w:ascii="Times New Roman" w:hAnsi="Times New Roman" w:eastAsia="宋体" w:cs="Times New Roman"/>
      <w:sz w:val="18"/>
      <w:szCs w:val="18"/>
    </w:rPr>
  </w:style>
  <w:style w:type="character" w:customStyle="1" w:styleId="17">
    <w:name w:val="批注框文本 字符"/>
    <w:basedOn w:val="13"/>
    <w:link w:val="8"/>
    <w:semiHidden/>
    <w:qFormat/>
    <w:uiPriority w:val="99"/>
    <w:rPr>
      <w:rFonts w:ascii="Times New Roman" w:hAnsi="Times New Roman" w:eastAsia="宋体" w:cs="Times New Roman"/>
      <w:sz w:val="18"/>
      <w:szCs w:val="18"/>
    </w:rPr>
  </w:style>
  <w:style w:type="character" w:customStyle="1" w:styleId="18">
    <w:name w:val="Char Char1"/>
    <w:qFormat/>
    <w:locked/>
    <w:uiPriority w:val="0"/>
    <w:rPr>
      <w:rFonts w:hint="eastAsia" w:ascii="宋体" w:hAnsi="Courier New" w:eastAsia="宋体"/>
      <w:kern w:val="2"/>
      <w:sz w:val="21"/>
      <w:lang w:val="en-US" w:eastAsia="zh-CN" w:bidi="ar-SA"/>
    </w:rPr>
  </w:style>
  <w:style w:type="paragraph" w:customStyle="1" w:styleId="19">
    <w:name w:val="Normal_f365f792-2b40-44f2-849e-9437ef987791"/>
    <w:qFormat/>
    <w:uiPriority w:val="0"/>
    <w:pPr>
      <w:widowControl w:val="0"/>
      <w:pBdr>
        <w:top w:val="none" w:color="auto" w:sz="0" w:space="0"/>
        <w:left w:val="none" w:color="auto" w:sz="0" w:space="0"/>
        <w:bottom w:val="none" w:color="auto" w:sz="0" w:space="0"/>
        <w:right w:val="none" w:color="auto" w:sz="0" w:space="0"/>
      </w:pBdr>
      <w:shd w:val="clear" w:color="auto" w:fill="auto"/>
      <w:jc w:val="both"/>
    </w:pPr>
    <w:rPr>
      <w:rFonts w:ascii="Times New Roman" w:hAnsi="Times New Roman" w:eastAsia="宋体" w:cs="Times New Roman"/>
      <w:kern w:val="2"/>
      <w:sz w:val="21"/>
      <w:szCs w:val="24"/>
      <w:lang w:val="en-US" w:eastAsia="zh-CN" w:bidi="ar-SA"/>
    </w:rPr>
  </w:style>
  <w:style w:type="table" w:customStyle="1" w:styleId="20">
    <w:name w:val="普通表格_030ed9d3-1aee-4686-a47a-91ba6df5cd45"/>
    <w:unhideWhenUsed/>
    <w:qFormat/>
    <w:uiPriority w:val="99"/>
    <w:tblPr>
      <w:tblCellMar>
        <w:top w:w="0" w:type="dxa"/>
        <w:left w:w="108" w:type="dxa"/>
        <w:bottom w:w="0" w:type="dxa"/>
        <w:right w:w="108" w:type="dxa"/>
      </w:tblCellMar>
    </w:tblPr>
    <w:tcPr>
      <w:shd w:val="clear" w:color="auto" w:fill="auto"/>
    </w:tcPr>
  </w:style>
  <w:style w:type="paragraph" w:customStyle="1" w:styleId="21">
    <w:name w:val="列出段落1"/>
    <w:basedOn w:val="1"/>
    <w:qFormat/>
    <w:uiPriority w:val="0"/>
    <w:pPr>
      <w:ind w:firstLine="420" w:firstLineChars="200"/>
    </w:pPr>
  </w:style>
  <w:style w:type="paragraph" w:customStyle="1" w:styleId="22">
    <w:name w:val="列出段落"/>
    <w:basedOn w:val="1"/>
    <w:qFormat/>
    <w:uiPriority w:val="34"/>
    <w:pPr>
      <w:widowControl/>
      <w:spacing w:line="360" w:lineRule="auto"/>
      <w:ind w:firstLine="420" w:firstLineChars="200"/>
      <w:jc w:val="left"/>
    </w:pPr>
    <w:rPr>
      <w:kern w:val="0"/>
      <w:sz w:val="18"/>
      <w:szCs w:val="18"/>
    </w:rPr>
  </w:style>
  <w:style w:type="paragraph" w:customStyle="1" w:styleId="23">
    <w:name w:val="正文1"/>
    <w:basedOn w:val="1"/>
    <w:qFormat/>
    <w:uiPriority w:val="0"/>
    <w:pPr>
      <w:widowControl/>
      <w:overflowPunct w:val="0"/>
      <w:autoSpaceDE w:val="0"/>
      <w:autoSpaceDN w:val="0"/>
      <w:adjustRightInd w:val="0"/>
      <w:textAlignment w:val="baseline"/>
    </w:pPr>
    <w:rPr>
      <w:rFonts w:ascii="宋体"/>
      <w:kern w:val="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22</Words>
  <Characters>126</Characters>
  <Lines>1</Lines>
  <Paragraphs>1</Paragraphs>
  <TotalTime>15</TotalTime>
  <ScaleCrop>false</ScaleCrop>
  <LinksUpToDate>false</LinksUpToDate>
  <CharactersWithSpaces>147</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丽英</cp:lastModifiedBy>
  <dcterms:modified xsi:type="dcterms:W3CDTF">2021-12-04T07:19:22Z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2052-11.1.0.10314</vt:lpwstr>
  </property>
</Properties>
</file>