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福建省联丰盛漂染植绒有限公司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连文英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190500</wp:posOffset>
                  </wp:positionV>
                  <wp:extent cx="4923155" cy="918210"/>
                  <wp:effectExtent l="0" t="0" r="4445" b="889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15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水、电、蒸汽；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主要能源参数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kgce/万米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中华人民共和国可再生能源法、中华人民共和国节约能源法、中华人民共和国清洁生产促进法、中华人民共和国计量法、关于加强节能工作的决定、节约能源监测管理暂行规定、节约用电管理办法、清洁发展机制项目运行管理办法、国家鼓励发展的资源节约综合利用和环境保护技术、企业能源审计报告和节能规划审核指南、节能减排统计监测及考核实施方案、节能减排综合性工作方案、关于做好中小企业节能减排工作的通知、GB17167-2016、综合能耗计算通则GBT2589-2020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de-DE" w:eastAsia="zh-CN" w:bidi="ar-SA"/>
              </w:rPr>
              <w:t xml:space="preserve">RB/T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102-2013 能源管理体系 纺织企业认证要求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连文英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2021.12.01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78740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2021.12.01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0E6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2021-12-06T06:53:52Z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