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964"/>
        <w:gridCol w:w="988"/>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石狮市龙兴隆染织实业有限公司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333"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r>
              <w:rPr>
                <w:rFonts w:hint="eastAsia"/>
                <w:sz w:val="22"/>
                <w:szCs w:val="22"/>
                <w:lang w:eastAsia="zh-CN"/>
              </w:rPr>
              <w:t>☑</w:t>
            </w:r>
            <w:r>
              <w:rPr>
                <w:rFonts w:hint="default" w:ascii="Times New Roman" w:hAnsi="Times New Roman" w:eastAsia="宋体" w:cs="Times New Roman"/>
              </w:rPr>
              <w:t>RB</w:t>
            </w:r>
            <w:r>
              <w:rPr>
                <w:rFonts w:hint="eastAsia" w:ascii="Times New Roman" w:hAnsi="Times New Roman" w:eastAsia="宋体" w:cs="Times New Roman"/>
                <w:lang w:val="en-US" w:eastAsia="zh-CN"/>
              </w:rPr>
              <w:t>/</w:t>
            </w:r>
            <w:r>
              <w:rPr>
                <w:rFonts w:hint="default" w:ascii="Times New Roman" w:hAnsi="Times New Roman" w:eastAsia="宋体" w:cs="Times New Roman"/>
              </w:rPr>
              <w:t>T102-2013</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 "https://www.so.com/_blank" </w:instrText>
            </w:r>
            <w:r>
              <w:rPr>
                <w:rFonts w:hint="default" w:ascii="Times New Roman" w:hAnsi="Times New Roman" w:eastAsia="宋体" w:cs="Times New Roman"/>
              </w:rPr>
              <w:fldChar w:fldCharType="separate"/>
            </w:r>
            <w:r>
              <w:rPr>
                <w:rFonts w:hint="default" w:ascii="Times New Roman" w:hAnsi="Times New Roman" w:eastAsia="宋体" w:cs="Times New Roman"/>
              </w:rPr>
              <w:t>能源管理体系</w:t>
            </w:r>
            <w:r>
              <w:rPr>
                <w:rFonts w:hint="eastAsia" w:ascii="Times New Roman" w:hAnsi="Times New Roman" w:eastAsia="宋体" w:cs="Times New Roman"/>
                <w:lang w:val="en-US" w:eastAsia="zh-CN"/>
              </w:rPr>
              <w:t>-</w:t>
            </w:r>
            <w:r>
              <w:rPr>
                <w:rFonts w:hint="default" w:ascii="Times New Roman" w:hAnsi="Times New Roman" w:eastAsia="宋体" w:cs="Times New Roman"/>
              </w:rPr>
              <w:t>纺织企业认证要求</w:t>
            </w:r>
            <w:r>
              <w:rPr>
                <w:rFonts w:hint="default" w:ascii="Times New Roman" w:hAnsi="Times New Roman" w:eastAsia="宋体" w:cs="Times New Roman"/>
              </w:rPr>
              <w:fldChar w:fldCharType="end"/>
            </w:r>
            <w:r>
              <w:rPr>
                <w:sz w:val="22"/>
                <w:szCs w:val="22"/>
              </w:rPr>
              <w:t xml:space="preserve">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988" w:type="dxa"/>
            <w:vAlign w:val="center"/>
          </w:tcPr>
          <w:p>
            <w:pPr>
              <w:widowControl/>
              <w:jc w:val="left"/>
              <w:rPr>
                <w:sz w:val="22"/>
                <w:szCs w:val="22"/>
              </w:rPr>
            </w:pPr>
            <w:r>
              <w:rPr>
                <w:rFonts w:hint="eastAsia"/>
                <w:b/>
                <w:sz w:val="22"/>
                <w:szCs w:val="22"/>
              </w:rPr>
              <w:t>合同编号</w:t>
            </w:r>
          </w:p>
        </w:tc>
        <w:tc>
          <w:tcPr>
            <w:tcW w:w="1643" w:type="dxa"/>
            <w:vAlign w:val="center"/>
          </w:tcPr>
          <w:p>
            <w:pPr>
              <w:widowControl/>
              <w:jc w:val="left"/>
              <w:rPr>
                <w:sz w:val="22"/>
                <w:szCs w:val="22"/>
              </w:rPr>
            </w:pPr>
            <w:bookmarkStart w:id="6" w:name="合同编号"/>
            <w:r>
              <w:rPr>
                <w:sz w:val="22"/>
                <w:szCs w:val="22"/>
              </w:rPr>
              <w:t>1152-2021-EnMs</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8" w:name="监督次数"/>
            <w:bookmarkEnd w:id="8"/>
            <w:r>
              <w:rPr>
                <w:rFonts w:hint="eastAsia"/>
                <w:sz w:val="22"/>
                <w:szCs w:val="22"/>
                <w:lang w:val="en-US" w:eastAsia="zh-CN"/>
              </w:rPr>
              <w:t>2</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1184" w:type="dxa"/>
            <w:vAlign w:val="center"/>
          </w:tcPr>
          <w:p>
            <w:pPr>
              <w:jc w:val="center"/>
              <w:rPr>
                <w:rFonts w:hint="eastAsia" w:ascii="Times New Roman" w:hAnsi="Times New Roman" w:eastAsia="宋体" w:cs="Times New Roman"/>
                <w:kern w:val="2"/>
                <w:sz w:val="20"/>
                <w:lang w:val="de-DE" w:eastAsia="zh-CN" w:bidi="ar-SA"/>
              </w:rPr>
            </w:pPr>
            <w:r>
              <w:rPr>
                <w:sz w:val="20"/>
                <w:lang w:val="de-DE"/>
              </w:rPr>
              <w:t>周</w:t>
            </w:r>
            <w:r>
              <w:rPr>
                <w:rFonts w:hint="eastAsia"/>
                <w:sz w:val="20"/>
                <w:lang w:val="en-US" w:eastAsia="zh-CN"/>
              </w:rPr>
              <w:t xml:space="preserve">  </w:t>
            </w:r>
            <w:r>
              <w:rPr>
                <w:sz w:val="20"/>
                <w:lang w:val="de-DE"/>
              </w:rPr>
              <w:t>涛</w:t>
            </w:r>
            <w:r>
              <w:rPr>
                <w:rFonts w:hint="eastAsia"/>
                <w:sz w:val="20"/>
                <w:lang w:val="de-DE" w:eastAsia="zh-CN"/>
              </w:rPr>
              <w:t>（</w:t>
            </w:r>
            <w:r>
              <w:rPr>
                <w:rFonts w:hint="eastAsia"/>
                <w:sz w:val="20"/>
                <w:lang w:val="en-US" w:eastAsia="zh-CN"/>
              </w:rPr>
              <w:t>A</w:t>
            </w:r>
            <w:r>
              <w:rPr>
                <w:rFonts w:hint="eastAsia"/>
                <w:sz w:val="20"/>
                <w:lang w:val="de-DE" w:eastAsia="zh-CN"/>
              </w:rPr>
              <w:t>）</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李丽英</w:t>
            </w:r>
            <w:r>
              <w:rPr>
                <w:rFonts w:hint="eastAsia"/>
                <w:sz w:val="20"/>
                <w:lang w:val="de-DE" w:eastAsia="zh-CN"/>
              </w:rPr>
              <w:t>（</w:t>
            </w:r>
            <w:r>
              <w:rPr>
                <w:rFonts w:hint="eastAsia"/>
                <w:sz w:val="20"/>
                <w:lang w:val="en-US" w:eastAsia="zh-CN"/>
              </w:rPr>
              <w:t>B</w:t>
            </w:r>
            <w:r>
              <w:rPr>
                <w:rFonts w:hint="eastAsia"/>
                <w:sz w:val="20"/>
                <w:lang w:val="de-DE" w:eastAsia="zh-CN"/>
              </w:rPr>
              <w:t>）</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李京田</w:t>
            </w:r>
            <w:r>
              <w:rPr>
                <w:rFonts w:hint="eastAsia"/>
                <w:sz w:val="20"/>
                <w:lang w:val="de-DE" w:eastAsia="zh-CN"/>
              </w:rPr>
              <w:t>（</w:t>
            </w:r>
            <w:r>
              <w:rPr>
                <w:rFonts w:hint="eastAsia"/>
                <w:sz w:val="20"/>
                <w:lang w:val="en-US" w:eastAsia="zh-CN"/>
              </w:rPr>
              <w:t>C</w:t>
            </w:r>
            <w:r>
              <w:rPr>
                <w:rFonts w:hint="eastAsia"/>
                <w:sz w:val="20"/>
                <w:lang w:val="de-DE" w:eastAsia="zh-CN"/>
              </w:rPr>
              <w:t>）</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李</w:t>
            </w:r>
            <w:r>
              <w:rPr>
                <w:rFonts w:hint="eastAsia"/>
                <w:sz w:val="20"/>
                <w:lang w:val="en-US" w:eastAsia="zh-CN"/>
              </w:rPr>
              <w:t xml:space="preserve">  </w:t>
            </w:r>
            <w:r>
              <w:rPr>
                <w:sz w:val="20"/>
                <w:lang w:val="de-DE"/>
              </w:rPr>
              <w:t>峰</w:t>
            </w:r>
            <w:r>
              <w:rPr>
                <w:rFonts w:hint="eastAsia"/>
                <w:sz w:val="20"/>
                <w:lang w:val="de-DE" w:eastAsia="zh-CN"/>
              </w:rPr>
              <w:t>（</w:t>
            </w:r>
            <w:r>
              <w:rPr>
                <w:rFonts w:hint="eastAsia"/>
                <w:sz w:val="20"/>
                <w:lang w:val="en-US" w:eastAsia="zh-CN"/>
              </w:rPr>
              <w:t>D</w:t>
            </w:r>
            <w:r>
              <w:rPr>
                <w:rFonts w:hint="eastAsia"/>
                <w:sz w:val="20"/>
                <w:lang w:val="de-DE" w:eastAsia="zh-CN"/>
              </w:rPr>
              <w:t>）</w:t>
            </w:r>
          </w:p>
        </w:tc>
        <w:tc>
          <w:tcPr>
            <w:tcW w:w="5595" w:type="dxa"/>
            <w:gridSpan w:val="3"/>
            <w:vAlign w:val="center"/>
          </w:tcPr>
          <w:p>
            <w:pPr>
              <w:jc w:val="center"/>
              <w:rPr>
                <w:sz w:val="20"/>
                <w:lang w:val="de-DE"/>
              </w:rPr>
            </w:pPr>
            <w:r>
              <w:rPr>
                <w:sz w:val="20"/>
                <w:lang w:val="de-DE"/>
              </w:rPr>
              <w:t>ISC-JSZJ-420</w:t>
            </w:r>
          </w:p>
          <w:p>
            <w:pPr>
              <w:jc w:val="center"/>
              <w:rPr>
                <w:rFonts w:ascii="Times New Roman" w:hAnsi="Times New Roman" w:eastAsia="宋体" w:cs="Times New Roman"/>
                <w:kern w:val="2"/>
                <w:sz w:val="20"/>
                <w:lang w:val="de-DE" w:eastAsia="zh-CN" w:bidi="ar-SA"/>
              </w:rPr>
            </w:pPr>
            <w:r>
              <w:rPr>
                <w:sz w:val="20"/>
                <w:lang w:val="de-DE"/>
              </w:rPr>
              <w:t>信诚染织(福建)有限公司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7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2021.11.23   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2021.11.24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B26C14"/>
    <w:rsid w:val="65337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2021-11-26T03:19:49Z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