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石狮市龙兴隆染织实业有限公司</w:t>
            </w:r>
            <w:bookmarkEnd w:id="6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2.5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-3004820</wp:posOffset>
                  </wp:positionV>
                  <wp:extent cx="4908550" cy="3486150"/>
                  <wp:effectExtent l="0" t="0" r="6350" b="635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主要能源使用：电、水、天然气、蒸汽；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主要能源参数：kgce/万米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numId w:val="0"/>
              </w:numPr>
              <w:snapToGrid w:val="0"/>
              <w:spacing w:line="280" w:lineRule="exact"/>
              <w:ind w:leftChars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"javascript:SLC(40273,0)"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中华人民共和国节约能源法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》、《中华人民共和国清洁生产促进法》、《中华人民共和国可再生能源法》；工业余热术语 、分类、等级及余热资源量计算方</w:t>
            </w:r>
            <w:r>
              <w:rPr>
                <w:rFonts w:hint="eastAsia"/>
                <w:b/>
                <w:sz w:val="20"/>
              </w:rPr>
              <w:t>法GB/T 1028-2000</w:t>
            </w:r>
            <w:r>
              <w:rPr>
                <w:rFonts w:hint="eastAsia"/>
                <w:b/>
                <w:sz w:val="20"/>
                <w:lang w:eastAsia="zh-CN"/>
              </w:rPr>
              <w:t>；用能设备能量平衡通则GB/T 2587-2009；节约用电管理办法（国经贸资源〔2000〕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1256号）；仪器仪表包装通用技术条件GB/T 15464；低压成套开关设备和控制设备GB7251.1-2005 ;节能机电设备(产品)推荐目录（工业和信息化部）。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李峰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54610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2021.11.22</w:t>
            </w:r>
            <w:bookmarkStart w:id="8" w:name="_GoBack"/>
            <w:bookmarkEnd w:id="8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B8E7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2021-11-26T04:37:56Z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