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70"/>
        <w:gridCol w:w="348"/>
        <w:gridCol w:w="294"/>
        <w:gridCol w:w="169"/>
        <w:gridCol w:w="51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晋江市亿泰隆化纤制造有限公司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晋江市龙湖镇石厦工业小区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晋江市龙湖镇石厦工业小区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施文强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13788829921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hongchaobo@cn-ytl.com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1134-2021-EnMs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20" w:name="审核范围"/>
            <w:r>
              <w:rPr>
                <w:sz w:val="20"/>
              </w:rPr>
              <w:t>喷胶棉的生产所涉及的能源管理</w:t>
            </w:r>
            <w:bookmarkEnd w:id="20"/>
            <w:r>
              <w:rPr>
                <w:rFonts w:hint="eastAsia"/>
                <w:sz w:val="20"/>
                <w:lang w:val="en-US" w:eastAsia="zh-CN"/>
              </w:rPr>
              <w:t>活动</w:t>
            </w:r>
            <w:bookmarkStart w:id="30" w:name="_GoBack"/>
            <w:bookmarkEnd w:id="3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 102-2013能源管理体系纺织企业认证要求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2021年11月30日 下午至2021年12月02日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远程审核于2021年11月30日 下午至2021年12月02日 上午(共2.0天)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施天祝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泉州海天染整有限公司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13600783015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0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施天祝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泉州海天染整有限公司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391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13600783015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8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2021.11.30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3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2021.11.30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机电科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2021.12.01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（其中12:00-13:00午餐）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行政部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2021.12.02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财务部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继续审核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259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90F1E"/>
    <w:rsid w:val="50AC0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2021-12-01T08:53:59Z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