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sz w:val="21"/>
                <w:szCs w:val="21"/>
              </w:rPr>
              <w:t>晋江市维盛织造漂染有限公司</w:t>
            </w:r>
            <w:bookmarkEnd w:id="6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施少雄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64135</wp:posOffset>
                  </wp:positionH>
                  <wp:positionV relativeFrom="paragraph">
                    <wp:posOffset>118110</wp:posOffset>
                  </wp:positionV>
                  <wp:extent cx="5123815" cy="843915"/>
                  <wp:effectExtent l="0" t="0" r="6985" b="6985"/>
                  <wp:wrapTopAndBottom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8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主要能源使用：电、水、天然气、蒸汽；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主要能源参数：kgce/万米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ind w:leftChars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"javascript:SLC(40273,0)"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/>
                <w:b/>
                <w:sz w:val="20"/>
              </w:rPr>
              <w:t>法GB/T 1028-2000</w:t>
            </w:r>
            <w:r>
              <w:rPr>
                <w:rFonts w:hint="eastAsia"/>
                <w:b/>
                <w:sz w:val="20"/>
                <w:lang w:eastAsia="zh-CN"/>
              </w:rPr>
              <w:t>；用能设备能量平衡通则GB/T 2587-2009；节约用电管理办法（国经贸资源〔2000〕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1256号）；仪器仪表包装通用技术条件GB/T 15464；低压成套开关设备和控制设备GB7251.1-2005 ;节能机电设备(产品)推荐目录（工业和信息化部）。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施少雄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54610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74A14F7"/>
    <w:rsid w:val="4B8E7013"/>
    <w:rsid w:val="6ECC3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2021-11-27T08:10:36Z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