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福建石狮晨光化纤染织有限公司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杨婵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tabs>
                <w:tab w:val="right" w:pos="1545"/>
              </w:tabs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2020年的目标为：</w:t>
            </w:r>
            <w:r>
              <w:rPr>
                <w:rFonts w:hint="eastAsia" w:ascii="宋体" w:hAnsi="宋体" w:cs="Times New Roman"/>
                <w:lang w:val="en-US" w:eastAsia="zh-CN"/>
              </w:rPr>
              <w:t>单位产品能耗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≦</w:t>
            </w:r>
            <w:r>
              <w:rPr>
                <w:rFonts w:hint="eastAsia" w:ascii="宋体" w:hAnsi="宋体" w:eastAsia="宋体"/>
                <w:lang w:val="en-US" w:eastAsia="zh-CN"/>
              </w:rPr>
              <w:t>433.72kgce/t；2020年实际单位产品能耗为：439.54kgce/t；2020年实际完成情况略高于目标值；</w:t>
            </w:r>
          </w:p>
          <w:p>
            <w:pPr>
              <w:pStyle w:val="5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2021年的目标为：</w:t>
            </w:r>
            <w:r>
              <w:rPr>
                <w:rFonts w:hint="eastAsia" w:ascii="宋体" w:hAnsi="宋体" w:cs="Times New Roman"/>
                <w:lang w:val="en-US" w:eastAsia="zh-CN"/>
              </w:rPr>
              <w:t>单位产品能耗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≦</w:t>
            </w:r>
            <w:r>
              <w:rPr>
                <w:rFonts w:hint="eastAsia" w:ascii="宋体" w:hAnsi="宋体" w:eastAsia="宋体"/>
                <w:lang w:val="en-US" w:eastAsia="zh-CN"/>
              </w:rPr>
              <w:t>439.54kgce/t；2021年1-9月份实际单位产品能耗为：109.27kgce/t；2021年1-9月份单位产品能耗大幅度降低。没有分析原因，没有制定控制措施。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102-2013能源管理体系 纺织企业认证要求4.6.1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0028" w:type="dxa"/>
          </w:tcPr>
          <w:p>
            <w:pPr>
              <w:pStyle w:val="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2020年的目标为：</w:t>
            </w:r>
            <w:r>
              <w:rPr>
                <w:rFonts w:hint="eastAsia" w:ascii="宋体" w:hAnsi="宋体" w:cs="Times New Roman"/>
                <w:lang w:val="en-US" w:eastAsia="zh-CN"/>
              </w:rPr>
              <w:t>单位产品能耗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≦</w:t>
            </w:r>
            <w:r>
              <w:rPr>
                <w:rFonts w:hint="eastAsia" w:ascii="宋体" w:hAnsi="宋体" w:eastAsia="宋体"/>
                <w:lang w:val="en-US" w:eastAsia="zh-CN"/>
              </w:rPr>
              <w:t>433.72kgce/t；2020年实际单位产品能耗为：439.54kgce/t；2020年实际完成情况略高于目标值；</w:t>
            </w:r>
          </w:p>
          <w:p>
            <w:pPr>
              <w:pStyle w:val="5"/>
              <w:rPr>
                <w:rFonts w:eastAsia="方正仿宋简体"/>
                <w:b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2021年的目标为：</w:t>
            </w:r>
            <w:r>
              <w:rPr>
                <w:rFonts w:hint="eastAsia" w:ascii="宋体" w:hAnsi="宋体" w:cs="Times New Roman"/>
                <w:lang w:val="en-US" w:eastAsia="zh-CN"/>
              </w:rPr>
              <w:t>单位产品能耗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≦</w:t>
            </w:r>
            <w:r>
              <w:rPr>
                <w:rFonts w:hint="eastAsia" w:ascii="宋体" w:hAnsi="宋体" w:eastAsia="宋体"/>
                <w:lang w:val="en-US" w:eastAsia="zh-CN"/>
              </w:rPr>
              <w:t>439.54kgce/t；2021年1-9月份实际单位产品能耗为：109.27kgce/t；2021年1-9月份单位产品能耗大幅度降低。没有分析原因，没有制定控制措施。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bookmarkStart w:id="18" w:name="_GoBack"/>
      <w:bookmarkEnd w:id="18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1B4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2021-12-07T01:27:47Z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