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5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周学刚  </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杨婵</w:t>
            </w:r>
          </w:p>
        </w:tc>
        <w:tc>
          <w:tcPr>
            <w:tcW w:w="7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周涛、冯玲玲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12.6-7</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52" w:type="dxa"/>
            <w:vAlign w:val="center"/>
          </w:tcPr>
          <w:p>
            <w:pPr>
              <w:tabs>
                <w:tab w:val="left" w:pos="709"/>
              </w:tabs>
              <w:ind w:right="57" w:rightChars="0"/>
              <w:rPr>
                <w:rFonts w:hint="default"/>
                <w:sz w:val="24"/>
                <w:szCs w:val="24"/>
                <w:lang w:val="en-US"/>
              </w:rPr>
            </w:pPr>
            <w:r>
              <w:rPr>
                <w:rFonts w:hint="eastAsia"/>
                <w:sz w:val="24"/>
                <w:szCs w:val="24"/>
              </w:rPr>
              <w:t>审核条款：</w:t>
            </w:r>
            <w:r>
              <w:rPr>
                <w:rFonts w:hint="eastAsia" w:ascii="Times New Roman" w:hAnsi="Times New Roman" w:eastAsia="宋体" w:cs="Times New Roman"/>
                <w:bCs w:val="0"/>
                <w:spacing w:val="0"/>
                <w:kern w:val="2"/>
                <w:sz w:val="21"/>
                <w:szCs w:val="21"/>
                <w:lang w:val="en-US" w:eastAsia="zh-CN" w:bidi="ar-SA"/>
              </w:rPr>
              <w:t>En:En:5.3/6.2/6.3/6.4/6.5/6.6/8.1/8.2/9.1.1/10.1/</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rPr>
              <w:t>组织的岗位、</w:t>
            </w:r>
            <w:r>
              <w:rPr>
                <w:rFonts w:hint="eastAsia"/>
                <w:sz w:val="24"/>
                <w:szCs w:val="24"/>
                <w:lang w:val="en-US" w:eastAsia="zh-CN"/>
              </w:rPr>
              <w:t>职责权限</w:t>
            </w:r>
          </w:p>
        </w:tc>
        <w:tc>
          <w:tcPr>
            <w:tcW w:w="960" w:type="dxa"/>
          </w:tcPr>
          <w:p>
            <w:pPr>
              <w:rPr>
                <w:rFonts w:hint="default"/>
                <w:sz w:val="24"/>
                <w:szCs w:val="24"/>
                <w:lang w:val="en-US" w:eastAsia="zh-CN"/>
              </w:rPr>
            </w:pPr>
            <w:r>
              <w:rPr>
                <w:rFonts w:hint="eastAsia"/>
                <w:sz w:val="24"/>
                <w:szCs w:val="24"/>
                <w:lang w:val="en-US" w:eastAsia="zh-CN"/>
              </w:rPr>
              <w:t>En5.3</w:t>
            </w:r>
          </w:p>
        </w:tc>
        <w:tc>
          <w:tcPr>
            <w:tcW w:w="10852" w:type="dxa"/>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生产部设</w:t>
            </w:r>
            <w:r>
              <w:rPr>
                <w:rFonts w:hint="eastAsia" w:cs="Times New Roman"/>
                <w:sz w:val="24"/>
                <w:szCs w:val="24"/>
                <w:lang w:val="en-US" w:eastAsia="zh-CN"/>
              </w:rPr>
              <w:t>3</w:t>
            </w:r>
            <w:r>
              <w:rPr>
                <w:rFonts w:hint="eastAsia" w:ascii="Times New Roman" w:hAnsi="Times New Roman" w:cs="Times New Roman"/>
                <w:sz w:val="24"/>
                <w:szCs w:val="24"/>
                <w:lang w:val="en-US" w:eastAsia="zh-CN"/>
              </w:rPr>
              <w:t>个车间：</w:t>
            </w:r>
            <w:r>
              <w:rPr>
                <w:rFonts w:hint="eastAsia" w:cs="Times New Roman"/>
                <w:sz w:val="24"/>
                <w:szCs w:val="24"/>
                <w:lang w:val="en-US" w:eastAsia="zh-CN"/>
              </w:rPr>
              <w:t>松式</w:t>
            </w:r>
            <w:r>
              <w:rPr>
                <w:rFonts w:hint="eastAsia" w:ascii="Times New Roman" w:hAnsi="Times New Roman" w:cs="Times New Roman"/>
                <w:sz w:val="24"/>
                <w:szCs w:val="24"/>
                <w:lang w:val="en-US" w:eastAsia="zh-CN"/>
              </w:rPr>
              <w:t>车间、染色车间、</w:t>
            </w:r>
            <w:r>
              <w:rPr>
                <w:rFonts w:hint="eastAsia" w:cs="Times New Roman"/>
                <w:sz w:val="24"/>
                <w:szCs w:val="24"/>
                <w:lang w:val="en-US" w:eastAsia="zh-CN"/>
              </w:rPr>
              <w:t>紧式车间</w:t>
            </w:r>
            <w:r>
              <w:rPr>
                <w:rFonts w:hint="eastAsia" w:ascii="Times New Roman" w:hAnsi="Times New Roman" w:cs="Times New Roman"/>
                <w:sz w:val="24"/>
                <w:szCs w:val="24"/>
                <w:lang w:val="en-US" w:eastAsia="zh-CN"/>
              </w:rPr>
              <w:t>。</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负责</w:t>
            </w:r>
            <w:r>
              <w:rPr>
                <w:rFonts w:hint="eastAsia" w:ascii="Times New Roman" w:hAnsi="Times New Roman" w:cs="Times New Roman"/>
                <w:sz w:val="24"/>
                <w:szCs w:val="24"/>
                <w:lang w:val="en-US" w:eastAsia="zh-CN"/>
              </w:rPr>
              <w:t>能源管理</w:t>
            </w:r>
            <w:r>
              <w:rPr>
                <w:rFonts w:hint="default" w:ascii="Times New Roman" w:hAnsi="Times New Roman" w:cs="Times New Roman"/>
                <w:sz w:val="24"/>
                <w:szCs w:val="24"/>
                <w:lang w:val="en-US" w:eastAsia="zh-CN"/>
              </w:rPr>
              <w:t>体系建立的初始评审、策划及运行的组织、协调、检查考核；</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2、合理安排生产调度，努力降低能源消耗和损失，提高能源利用率。</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3、负责提供能源基础设施和工作环境。</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4、负责能源体系要求的设备正常运行，做好生产过程的能源控制和对能源过程能力的确认。</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5、参与能源应急预案的编制和落实工作。</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经理对职责基本明确清晰。</w:t>
            </w:r>
          </w:p>
        </w:tc>
        <w:tc>
          <w:tcPr>
            <w:tcW w:w="737" w:type="dxa"/>
          </w:tcPr>
          <w:p>
            <w:pPr>
              <w:rPr>
                <w:rFonts w:hint="eastAsia"/>
                <w:sz w:val="24"/>
                <w:szCs w:val="24"/>
              </w:rPr>
            </w:pPr>
          </w:p>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hint="default"/>
                <w:sz w:val="24"/>
                <w:szCs w:val="24"/>
                <w:lang w:val="en-US" w:eastAsia="zh-CN"/>
              </w:rPr>
            </w:pPr>
            <w:r>
              <w:rPr>
                <w:rFonts w:hint="eastAsia"/>
                <w:sz w:val="24"/>
                <w:szCs w:val="24"/>
                <w:lang w:val="en-US" w:eastAsia="zh-CN"/>
              </w:rPr>
              <w:t>能源目标\</w:t>
            </w:r>
            <w:r>
              <w:rPr>
                <w:rFonts w:hint="eastAsia"/>
                <w:sz w:val="24"/>
                <w:szCs w:val="24"/>
              </w:rPr>
              <w:t>能源指及其实现的策划</w:t>
            </w:r>
          </w:p>
        </w:tc>
        <w:tc>
          <w:tcPr>
            <w:tcW w:w="960" w:type="dxa"/>
          </w:tcPr>
          <w:p>
            <w:pPr>
              <w:rPr>
                <w:rFonts w:hint="default"/>
                <w:sz w:val="24"/>
                <w:szCs w:val="24"/>
                <w:lang w:val="en-US" w:eastAsia="zh-CN"/>
              </w:rPr>
            </w:pPr>
            <w:r>
              <w:rPr>
                <w:rFonts w:hint="eastAsia"/>
                <w:sz w:val="24"/>
                <w:szCs w:val="24"/>
                <w:lang w:val="en-US" w:eastAsia="zh-CN"/>
              </w:rPr>
              <w:t>En6.2</w:t>
            </w:r>
          </w:p>
        </w:tc>
        <w:tc>
          <w:tcPr>
            <w:tcW w:w="10852" w:type="dxa"/>
          </w:tcPr>
          <w:p>
            <w:pPr>
              <w:rPr>
                <w:rFonts w:hint="default"/>
                <w:sz w:val="24"/>
                <w:szCs w:val="24"/>
                <w:lang w:val="en-US" w:eastAsia="zh-CN"/>
              </w:rPr>
            </w:pPr>
            <w:r>
              <w:rPr>
                <w:rFonts w:hint="eastAsia"/>
                <w:sz w:val="24"/>
                <w:szCs w:val="24"/>
                <w:lang w:val="en-US" w:eastAsia="zh-CN"/>
              </w:rPr>
              <w:t>目标完成情况：</w:t>
            </w:r>
          </w:p>
          <w:p>
            <w:pPr>
              <w:pStyle w:val="11"/>
              <w:rPr>
                <w:rFonts w:hint="eastAsia" w:ascii="宋体" w:hAnsi="宋体" w:eastAsia="宋体"/>
                <w:lang w:val="en-US" w:eastAsia="zh-CN"/>
              </w:rPr>
            </w:pPr>
            <w:r>
              <w:rPr>
                <w:rFonts w:hint="eastAsia" w:ascii="宋体" w:hAnsi="宋体" w:eastAsia="宋体" w:cs="Times New Roman"/>
                <w:lang w:val="en-US" w:eastAsia="zh-CN"/>
              </w:rPr>
              <w:t>2020年的目标为：</w:t>
            </w:r>
            <w:r>
              <w:rPr>
                <w:rFonts w:hint="eastAsia" w:ascii="宋体" w:hAnsi="宋体" w:cs="Times New Roman"/>
                <w:lang w:val="en-US" w:eastAsia="zh-CN"/>
              </w:rPr>
              <w:t>单位产品能耗</w:t>
            </w:r>
            <w:r>
              <w:rPr>
                <w:rFonts w:hint="eastAsia" w:ascii="宋体" w:hAnsi="宋体" w:eastAsia="宋体" w:cs="宋体"/>
                <w:lang w:val="en-US" w:eastAsia="zh-CN"/>
              </w:rPr>
              <w:t>≦</w:t>
            </w:r>
            <w:r>
              <w:rPr>
                <w:rFonts w:hint="eastAsia" w:ascii="宋体" w:hAnsi="宋体" w:eastAsia="宋体"/>
                <w:lang w:val="en-US" w:eastAsia="zh-CN"/>
              </w:rPr>
              <w:t>433.72kgce/t；</w:t>
            </w:r>
          </w:p>
          <w:p>
            <w:pPr>
              <w:pStyle w:val="11"/>
              <w:rPr>
                <w:rFonts w:hint="eastAsia" w:ascii="宋体" w:hAnsi="宋体" w:eastAsia="宋体"/>
                <w:lang w:val="en-US" w:eastAsia="zh-CN"/>
              </w:rPr>
            </w:pPr>
            <w:r>
              <w:rPr>
                <w:rFonts w:hint="eastAsia" w:ascii="宋体" w:hAnsi="宋体" w:eastAsia="宋体"/>
                <w:lang w:val="en-US" w:eastAsia="zh-CN"/>
              </w:rPr>
              <w:t>2020年实际单位产品能耗为：439.54kgce/t；</w:t>
            </w:r>
          </w:p>
          <w:p>
            <w:pPr>
              <w:pStyle w:val="11"/>
              <w:rPr>
                <w:rFonts w:hint="eastAsia" w:ascii="宋体" w:hAnsi="宋体" w:eastAsia="宋体"/>
                <w:lang w:val="en-US" w:eastAsia="zh-CN"/>
              </w:rPr>
            </w:pPr>
            <w:r>
              <w:rPr>
                <w:rFonts w:hint="eastAsia" w:ascii="宋体" w:hAnsi="宋体" w:eastAsia="宋体"/>
                <w:lang w:val="en-US" w:eastAsia="zh-CN"/>
              </w:rPr>
              <w:t>2020年实际完成情况略高于目标值；</w:t>
            </w:r>
          </w:p>
          <w:p>
            <w:pPr>
              <w:pStyle w:val="11"/>
              <w:rPr>
                <w:rFonts w:hint="eastAsia" w:ascii="宋体" w:hAnsi="宋体" w:eastAsia="宋体"/>
                <w:lang w:val="en-US" w:eastAsia="zh-CN"/>
              </w:rPr>
            </w:pPr>
          </w:p>
          <w:p>
            <w:pPr>
              <w:pStyle w:val="11"/>
              <w:rPr>
                <w:rFonts w:hint="eastAsia" w:ascii="宋体" w:hAnsi="宋体" w:eastAsia="宋体"/>
                <w:lang w:val="en-US" w:eastAsia="zh-CN"/>
              </w:rPr>
            </w:pPr>
          </w:p>
          <w:p>
            <w:pPr>
              <w:pStyle w:val="11"/>
              <w:rPr>
                <w:rFonts w:hint="eastAsia" w:ascii="宋体" w:hAnsi="宋体" w:eastAsia="宋体"/>
                <w:lang w:val="en-US" w:eastAsia="zh-CN"/>
              </w:rPr>
            </w:pPr>
            <w:r>
              <w:rPr>
                <w:rFonts w:hint="eastAsia" w:ascii="宋体" w:hAnsi="宋体" w:eastAsia="宋体"/>
                <w:lang w:val="en-US" w:eastAsia="zh-CN"/>
              </w:rPr>
              <w:t>2021年的目标为：</w:t>
            </w:r>
            <w:r>
              <w:rPr>
                <w:rFonts w:hint="eastAsia" w:ascii="宋体" w:hAnsi="宋体" w:cs="Times New Roman"/>
                <w:lang w:val="en-US" w:eastAsia="zh-CN"/>
              </w:rPr>
              <w:t>单位产品能耗</w:t>
            </w:r>
            <w:r>
              <w:rPr>
                <w:rFonts w:hint="eastAsia" w:ascii="宋体" w:hAnsi="宋体" w:eastAsia="宋体" w:cs="宋体"/>
                <w:lang w:val="en-US" w:eastAsia="zh-CN"/>
              </w:rPr>
              <w:t>≦</w:t>
            </w:r>
            <w:r>
              <w:rPr>
                <w:rFonts w:hint="eastAsia" w:ascii="宋体" w:hAnsi="宋体" w:eastAsia="宋体"/>
                <w:lang w:val="en-US" w:eastAsia="zh-CN"/>
              </w:rPr>
              <w:t>439.54kgce/t；</w:t>
            </w:r>
          </w:p>
          <w:p>
            <w:pPr>
              <w:pStyle w:val="11"/>
              <w:ind w:left="0" w:leftChars="0" w:firstLine="240" w:firstLineChars="100"/>
              <w:rPr>
                <w:rFonts w:hint="eastAsia" w:ascii="宋体" w:hAnsi="宋体" w:eastAsia="宋体"/>
                <w:lang w:val="en-US" w:eastAsia="zh-CN"/>
              </w:rPr>
            </w:pPr>
            <w:r>
              <w:rPr>
                <w:rFonts w:hint="eastAsia" w:ascii="宋体" w:hAnsi="宋体" w:eastAsia="宋体"/>
                <w:lang w:val="en-US" w:eastAsia="zh-CN"/>
              </w:rPr>
              <w:t>2021年1-9月份实际单位产品能耗为：109.27kgce/t；</w:t>
            </w:r>
          </w:p>
          <w:p>
            <w:pPr>
              <w:pStyle w:val="11"/>
              <w:ind w:left="0" w:leftChars="0" w:firstLine="240" w:firstLineChars="100"/>
              <w:rPr>
                <w:rFonts w:hint="default"/>
                <w:sz w:val="24"/>
                <w:szCs w:val="24"/>
                <w:lang w:val="en-US" w:eastAsia="zh-CN"/>
              </w:rPr>
            </w:pPr>
            <w:r>
              <w:rPr>
                <w:rFonts w:hint="eastAsia" w:ascii="宋体" w:hAnsi="宋体" w:eastAsia="宋体"/>
                <w:lang w:val="en-US" w:eastAsia="zh-CN"/>
              </w:rPr>
              <w:t>2021年1-9月份单位产品能耗大幅度降低。</w:t>
            </w:r>
          </w:p>
        </w:tc>
        <w:tc>
          <w:tcPr>
            <w:tcW w:w="737" w:type="dxa"/>
            <w:vAlign w:val="top"/>
          </w:tcPr>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lang w:val="en-US" w:eastAsia="zh-CN"/>
              </w:rPr>
              <w:t>能源评审</w:t>
            </w:r>
          </w:p>
        </w:tc>
        <w:tc>
          <w:tcPr>
            <w:tcW w:w="960" w:type="dxa"/>
          </w:tcPr>
          <w:p>
            <w:pPr>
              <w:rPr>
                <w:rFonts w:hint="default"/>
                <w:sz w:val="24"/>
                <w:szCs w:val="24"/>
                <w:lang w:val="en-US" w:eastAsia="zh-CN"/>
              </w:rPr>
            </w:pPr>
            <w:r>
              <w:rPr>
                <w:rFonts w:hint="eastAsia"/>
                <w:sz w:val="24"/>
                <w:szCs w:val="24"/>
                <w:lang w:val="en-US" w:eastAsia="zh-CN"/>
              </w:rPr>
              <w:t>En6.3</w:t>
            </w:r>
          </w:p>
        </w:tc>
        <w:tc>
          <w:tcPr>
            <w:tcW w:w="10852" w:type="dxa"/>
          </w:tcPr>
          <w:p>
            <w:pPr>
              <w:rPr>
                <w:rFonts w:hint="eastAsia"/>
                <w:sz w:val="24"/>
                <w:szCs w:val="24"/>
                <w:lang w:val="en-US" w:eastAsia="zh-CN"/>
              </w:rPr>
            </w:pPr>
            <w:r>
              <w:rPr>
                <w:rFonts w:hint="eastAsia"/>
                <w:sz w:val="24"/>
                <w:szCs w:val="24"/>
                <w:lang w:val="en-US" w:eastAsia="zh-CN"/>
              </w:rPr>
              <w:t>提供：“福建石狮晨光化纤染织有限公司能源评审报告”2021年10月10；内容包括：</w:t>
            </w:r>
          </w:p>
          <w:p>
            <w:pPr>
              <w:rPr>
                <w:rFonts w:hint="eastAsia"/>
                <w:sz w:val="24"/>
                <w:szCs w:val="24"/>
                <w:lang w:val="en-US" w:eastAsia="zh-CN"/>
              </w:rPr>
            </w:pPr>
            <w:r>
              <w:rPr>
                <w:rFonts w:hint="eastAsia"/>
                <w:sz w:val="24"/>
                <w:szCs w:val="24"/>
                <w:lang w:val="en-US" w:eastAsia="zh-CN"/>
              </w:rPr>
              <w:t>能源评审基础信息（目的和范围和边界、评审期、公司能源使用基本情况、淘汰能耗落后工艺、设备概况等）;  公司管理体系覆盖范围包括：染整产品的设计、生产和销售所涉及的能源管理的能源购入、能源转换、能源分配传输和能源使用活动。</w:t>
            </w:r>
          </w:p>
          <w:p>
            <w:pPr>
              <w:rPr>
                <w:rFonts w:hint="eastAsia"/>
                <w:sz w:val="24"/>
                <w:szCs w:val="24"/>
                <w:lang w:val="en-US" w:eastAsia="zh-CN"/>
              </w:rPr>
            </w:pPr>
            <w:r>
              <w:rPr>
                <w:rFonts w:hint="eastAsia"/>
                <w:sz w:val="24"/>
                <w:szCs w:val="24"/>
                <w:lang w:val="en-US" w:eastAsia="zh-CN"/>
              </w:rPr>
              <w:t>评审期：2020年1月1日～2020年12月31日。</w:t>
            </w:r>
          </w:p>
          <w:p>
            <w:pPr>
              <w:rPr>
                <w:rFonts w:hint="eastAsia"/>
                <w:sz w:val="24"/>
                <w:szCs w:val="24"/>
                <w:lang w:val="en-US" w:eastAsia="zh-CN"/>
              </w:rPr>
            </w:pPr>
            <w:r>
              <w:rPr>
                <w:rFonts w:hint="eastAsia"/>
                <w:sz w:val="24"/>
                <w:szCs w:val="24"/>
                <w:lang w:val="en-US" w:eastAsia="zh-CN"/>
              </w:rPr>
              <w:t>基准期：2019年1月1日～2019年12月31日生产周期内平均值</w:t>
            </w:r>
          </w:p>
          <w:p>
            <w:pPr>
              <w:rPr>
                <w:rFonts w:hint="default"/>
                <w:sz w:val="24"/>
                <w:szCs w:val="24"/>
                <w:lang w:val="en-US" w:eastAsia="zh-CN"/>
              </w:rPr>
            </w:pPr>
            <w:r>
              <w:rPr>
                <w:rFonts w:hint="eastAsia"/>
                <w:sz w:val="24"/>
                <w:szCs w:val="24"/>
                <w:lang w:val="en-US" w:eastAsia="zh-CN"/>
              </w:rPr>
              <w:t>能源管理状况评审（能源方针目标、能源管理组织及职责、能源管理制度、能源管理、能源计量、能源统计管理、能源定额管理、近三年生产和节能技改项目等）；</w:t>
            </w:r>
          </w:p>
          <w:p>
            <w:pPr>
              <w:rPr>
                <w:rFonts w:hint="default"/>
                <w:sz w:val="24"/>
                <w:szCs w:val="24"/>
                <w:lang w:val="en-US" w:eastAsia="zh-CN"/>
              </w:rPr>
            </w:pPr>
            <w:r>
              <w:rPr>
                <w:rFonts w:hint="eastAsia"/>
                <w:sz w:val="24"/>
                <w:szCs w:val="24"/>
                <w:lang w:val="en-US" w:eastAsia="zh-CN"/>
              </w:rPr>
              <w:t>能源利用状况评审（能源消耗结构分析、用能设备能耗分析等）；</w:t>
            </w:r>
          </w:p>
          <w:p>
            <w:pPr>
              <w:rPr>
                <w:rFonts w:hint="default"/>
                <w:sz w:val="24"/>
                <w:szCs w:val="24"/>
                <w:lang w:val="en-US" w:eastAsia="zh-CN"/>
              </w:rPr>
            </w:pPr>
            <w:r>
              <w:rPr>
                <w:rFonts w:hint="eastAsia"/>
                <w:sz w:val="24"/>
                <w:szCs w:val="24"/>
                <w:lang w:val="en-US" w:eastAsia="zh-CN"/>
              </w:rPr>
              <w:t>节能潜力分析和能源绩效优先改进机会识别（管理改进方法、项目改进方法）；</w:t>
            </w:r>
          </w:p>
          <w:p>
            <w:pPr>
              <w:rPr>
                <w:rFonts w:hint="default"/>
                <w:sz w:val="24"/>
                <w:szCs w:val="24"/>
                <w:lang w:val="en-US" w:eastAsia="zh-CN"/>
              </w:rPr>
            </w:pPr>
            <w:r>
              <w:rPr>
                <w:rFonts w:hint="eastAsia"/>
                <w:sz w:val="24"/>
                <w:szCs w:val="24"/>
                <w:lang w:val="en-US" w:eastAsia="zh-CN"/>
              </w:rPr>
              <w:t>未来能源的消耗分析；</w:t>
            </w:r>
          </w:p>
          <w:p>
            <w:pPr>
              <w:rPr>
                <w:rFonts w:hint="default"/>
                <w:sz w:val="24"/>
                <w:szCs w:val="24"/>
                <w:lang w:val="en-US" w:eastAsia="zh-CN"/>
              </w:rPr>
            </w:pPr>
            <w:r>
              <w:rPr>
                <w:rFonts w:hint="eastAsia"/>
                <w:sz w:val="24"/>
                <w:szCs w:val="24"/>
                <w:lang w:val="en-US" w:eastAsia="zh-CN"/>
              </w:rPr>
              <w:t>能源评审输出（能源绩效参数、能源基准和能源目标指标、影响主要能源使用的相关变量和参数控制）；能源评审报告中未具体描述影响电力使用（主要能源使用）的相关变量——问题项</w:t>
            </w:r>
          </w:p>
          <w:p>
            <w:pPr>
              <w:rPr>
                <w:rFonts w:hint="default"/>
                <w:sz w:val="24"/>
                <w:szCs w:val="24"/>
                <w:lang w:val="en-US" w:eastAsia="zh-CN"/>
              </w:rPr>
            </w:pPr>
            <w:r>
              <w:rPr>
                <w:rFonts w:hint="eastAsia"/>
                <w:sz w:val="24"/>
                <w:szCs w:val="24"/>
                <w:lang w:val="en-US" w:eastAsia="zh-CN"/>
              </w:rPr>
              <w:t>结论和建议（总体评价、建议）</w:t>
            </w:r>
          </w:p>
          <w:p>
            <w:pPr>
              <w:rPr>
                <w:rFonts w:hint="default"/>
                <w:sz w:val="24"/>
                <w:szCs w:val="24"/>
                <w:lang w:val="en-US" w:eastAsia="zh-CN"/>
              </w:rPr>
            </w:pPr>
            <w:r>
              <w:rPr>
                <w:rFonts w:hint="eastAsia"/>
                <w:sz w:val="24"/>
                <w:szCs w:val="24"/>
                <w:lang w:val="en-US" w:eastAsia="zh-CN"/>
              </w:rPr>
              <w:t>以上内容基本满足标准要求。</w:t>
            </w:r>
          </w:p>
        </w:tc>
        <w:tc>
          <w:tcPr>
            <w:tcW w:w="737" w:type="dxa"/>
          </w:tcPr>
          <w:p>
            <w:pPr>
              <w:rPr>
                <w:rFonts w:hint="eastAsia"/>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2160" w:type="dxa"/>
          </w:tcPr>
          <w:p>
            <w:pPr>
              <w:rPr>
                <w:rFonts w:hint="default"/>
                <w:sz w:val="24"/>
                <w:szCs w:val="24"/>
                <w:lang w:val="en-US" w:eastAsia="zh-CN"/>
              </w:rPr>
            </w:pPr>
            <w:r>
              <w:rPr>
                <w:rFonts w:hint="eastAsia"/>
                <w:sz w:val="24"/>
                <w:szCs w:val="24"/>
                <w:lang w:val="en-US" w:eastAsia="zh-CN"/>
              </w:rPr>
              <w:t>能源绩效参数、能源基准的确定</w:t>
            </w:r>
          </w:p>
        </w:tc>
        <w:tc>
          <w:tcPr>
            <w:tcW w:w="960" w:type="dxa"/>
          </w:tcPr>
          <w:p>
            <w:pPr>
              <w:rPr>
                <w:rFonts w:hint="eastAsia"/>
                <w:sz w:val="24"/>
                <w:szCs w:val="24"/>
                <w:lang w:val="en-US" w:eastAsia="zh-CN"/>
              </w:rPr>
            </w:pPr>
            <w:r>
              <w:rPr>
                <w:rFonts w:hint="eastAsia"/>
                <w:sz w:val="24"/>
                <w:szCs w:val="24"/>
                <w:lang w:val="en-US" w:eastAsia="zh-CN"/>
              </w:rPr>
              <w:t>En6.4/</w:t>
            </w:r>
          </w:p>
          <w:p>
            <w:pPr>
              <w:rPr>
                <w:rFonts w:hint="default"/>
                <w:sz w:val="24"/>
                <w:szCs w:val="24"/>
                <w:lang w:val="en-US" w:eastAsia="zh-CN"/>
              </w:rPr>
            </w:pPr>
            <w:r>
              <w:rPr>
                <w:rFonts w:hint="eastAsia"/>
                <w:sz w:val="24"/>
                <w:szCs w:val="24"/>
                <w:lang w:val="en-US" w:eastAsia="zh-CN"/>
              </w:rPr>
              <w:t>6.5</w:t>
            </w:r>
          </w:p>
        </w:tc>
        <w:tc>
          <w:tcPr>
            <w:tcW w:w="10852" w:type="dxa"/>
          </w:tcPr>
          <w:p>
            <w:pPr>
              <w:ind w:firstLine="240" w:firstLineChars="100"/>
              <w:rPr>
                <w:rFonts w:hint="default"/>
                <w:sz w:val="24"/>
                <w:szCs w:val="24"/>
                <w:lang w:val="en-US" w:eastAsia="zh-CN"/>
              </w:rPr>
            </w:pPr>
            <w:r>
              <w:rPr>
                <w:rFonts w:hint="eastAsia"/>
                <w:sz w:val="24"/>
                <w:szCs w:val="24"/>
                <w:lang w:val="en-US" w:eastAsia="zh-CN"/>
              </w:rPr>
              <w:t>公司的能源种类为主要是电、水、蒸汽，产量单位是吨，因此公司的绩效参数为kgce/吨。</w:t>
            </w:r>
          </w:p>
          <w:p>
            <w:pPr>
              <w:ind w:firstLine="240" w:firstLineChars="100"/>
              <w:rPr>
                <w:rFonts w:hint="eastAsia"/>
                <w:sz w:val="24"/>
                <w:szCs w:val="24"/>
                <w:lang w:val="en-US" w:eastAsia="zh-CN"/>
              </w:rPr>
            </w:pPr>
            <w:r>
              <w:rPr>
                <w:rFonts w:hint="eastAsia"/>
                <w:sz w:val="24"/>
                <w:szCs w:val="24"/>
                <w:lang w:val="en-US" w:eastAsia="zh-CN"/>
              </w:rPr>
              <w:t>该企业根据2019年的生产经营情况进行分析，认为2019年能源静态因素和响应变量基本没有变化，企业的生产经营活动处于稳定状态，能源消耗稳定，通过对2019年用能分析和生产情况分析，可以用2019年的平均单耗作为基准，即2020年的能源目标。</w:t>
            </w:r>
          </w:p>
          <w:p>
            <w:pPr>
              <w:pStyle w:val="11"/>
              <w:rPr>
                <w:rFonts w:hint="default"/>
                <w:sz w:val="24"/>
                <w:szCs w:val="24"/>
                <w:lang w:val="en-US" w:eastAsia="zh-CN"/>
              </w:rPr>
            </w:pPr>
            <w:r>
              <w:rPr>
                <w:rFonts w:hint="eastAsia"/>
                <w:sz w:val="24"/>
                <w:szCs w:val="24"/>
                <w:lang w:val="en-US" w:eastAsia="zh-CN"/>
              </w:rPr>
              <w:t>即，</w:t>
            </w:r>
            <w:r>
              <w:rPr>
                <w:rFonts w:hint="eastAsia" w:ascii="宋体" w:hAnsi="宋体" w:eastAsia="宋体"/>
                <w:lang w:val="en-US" w:eastAsia="zh-CN"/>
              </w:rPr>
              <w:t>433.72kgce/t</w:t>
            </w:r>
            <w:r>
              <w:rPr>
                <w:rFonts w:hint="eastAsia"/>
                <w:sz w:val="24"/>
                <w:szCs w:val="24"/>
                <w:lang w:val="en-US" w:eastAsia="zh-CN"/>
              </w:rPr>
              <w:t>为公司的能源基准。</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sz w:val="24"/>
                <w:szCs w:val="24"/>
                <w:lang w:val="en-US" w:eastAsia="zh-CN"/>
              </w:rPr>
            </w:pPr>
            <w:r>
              <w:rPr>
                <w:rFonts w:hint="eastAsia"/>
                <w:sz w:val="24"/>
                <w:szCs w:val="24"/>
                <w:lang w:val="en-US" w:eastAsia="zh-CN"/>
              </w:rPr>
              <w:t>能源数据的收集策划</w:t>
            </w:r>
          </w:p>
        </w:tc>
        <w:tc>
          <w:tcPr>
            <w:tcW w:w="960" w:type="dxa"/>
          </w:tcPr>
          <w:p>
            <w:pPr>
              <w:rPr>
                <w:rFonts w:hint="default"/>
                <w:sz w:val="24"/>
                <w:szCs w:val="24"/>
                <w:lang w:val="en-US" w:eastAsia="zh-CN"/>
              </w:rPr>
            </w:pPr>
            <w:r>
              <w:rPr>
                <w:rFonts w:hint="eastAsia"/>
                <w:sz w:val="24"/>
                <w:szCs w:val="24"/>
                <w:lang w:val="en-US" w:eastAsia="zh-CN"/>
              </w:rPr>
              <w:t>En6.6</w:t>
            </w:r>
          </w:p>
        </w:tc>
        <w:tc>
          <w:tcPr>
            <w:tcW w:w="10852" w:type="dxa"/>
          </w:tcPr>
          <w:p>
            <w:pPr>
              <w:rPr>
                <w:rFonts w:hint="eastAsia"/>
                <w:sz w:val="24"/>
                <w:szCs w:val="24"/>
                <w:lang w:val="en-US" w:eastAsia="zh-CN"/>
              </w:rPr>
            </w:pPr>
            <w:r>
              <w:rPr>
                <w:rFonts w:hint="eastAsia"/>
                <w:sz w:val="24"/>
                <w:szCs w:val="24"/>
                <w:lang w:val="en-US" w:eastAsia="zh-CN"/>
              </w:rPr>
              <w:t>该企业根据能源统计和能源核算以及成本考核等因素，对能源数据的收集进行了策划，并通过生产统计表（日报表）的形式予以展示，按照数据收集策划的要求对能源消耗进行成本核算和考核，基本满足企业能源管理的要求。</w:t>
            </w:r>
          </w:p>
          <w:p>
            <w:pPr>
              <w:rPr>
                <w:rFonts w:hint="default"/>
                <w:sz w:val="24"/>
                <w:szCs w:val="24"/>
                <w:lang w:val="en-US" w:eastAsia="zh-CN"/>
              </w:rPr>
            </w:pPr>
            <w:r>
              <w:rPr>
                <w:rFonts w:hint="eastAsia"/>
                <w:sz w:val="24"/>
                <w:szCs w:val="24"/>
                <w:lang w:val="en-US" w:eastAsia="zh-CN"/>
              </w:rPr>
              <w:t>但企业并未形成文件化或准则要求，建议企业逐步改进，已与企业进行沟通。</w:t>
            </w:r>
          </w:p>
        </w:tc>
        <w:tc>
          <w:tcPr>
            <w:tcW w:w="737" w:type="dxa"/>
            <w:vAlign w:val="top"/>
          </w:tcPr>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4"/>
                <w:szCs w:val="24"/>
                <w:lang w:val="en-US" w:eastAsia="zh-CN"/>
              </w:rPr>
            </w:pPr>
            <w:r>
              <w:rPr>
                <w:rFonts w:hint="eastAsia"/>
                <w:sz w:val="24"/>
                <w:szCs w:val="24"/>
                <w:lang w:val="en-US" w:eastAsia="zh-CN"/>
              </w:rPr>
              <w:t>运行控制、沟通</w:t>
            </w:r>
          </w:p>
        </w:tc>
        <w:tc>
          <w:tcPr>
            <w:tcW w:w="960" w:type="dxa"/>
          </w:tcPr>
          <w:p>
            <w:pPr>
              <w:rPr>
                <w:rFonts w:hint="eastAsia"/>
                <w:sz w:val="24"/>
                <w:szCs w:val="24"/>
                <w:lang w:val="en-US" w:eastAsia="zh-CN"/>
              </w:rPr>
            </w:pPr>
            <w:r>
              <w:rPr>
                <w:rFonts w:hint="eastAsia"/>
                <w:sz w:val="24"/>
                <w:szCs w:val="24"/>
                <w:lang w:val="en-US" w:eastAsia="zh-CN"/>
              </w:rPr>
              <w:t>En7.4/</w:t>
            </w:r>
          </w:p>
          <w:p>
            <w:pPr>
              <w:rPr>
                <w:rFonts w:hint="default"/>
                <w:sz w:val="24"/>
                <w:szCs w:val="24"/>
                <w:lang w:val="en-US" w:eastAsia="zh-CN"/>
              </w:rPr>
            </w:pPr>
            <w:r>
              <w:rPr>
                <w:rFonts w:hint="eastAsia"/>
                <w:sz w:val="24"/>
                <w:szCs w:val="24"/>
                <w:lang w:val="en-US" w:eastAsia="zh-CN"/>
              </w:rPr>
              <w:t>6.6/</w:t>
            </w:r>
          </w:p>
          <w:p>
            <w:pPr>
              <w:rPr>
                <w:rFonts w:hint="default"/>
                <w:sz w:val="24"/>
                <w:szCs w:val="24"/>
                <w:lang w:val="en-US" w:eastAsia="zh-CN"/>
              </w:rPr>
            </w:pPr>
            <w:r>
              <w:rPr>
                <w:rFonts w:hint="eastAsia"/>
                <w:sz w:val="24"/>
                <w:szCs w:val="24"/>
                <w:lang w:val="en-US" w:eastAsia="zh-CN"/>
              </w:rPr>
              <w:t>8.1/9.1.1</w:t>
            </w:r>
          </w:p>
        </w:tc>
        <w:tc>
          <w:tcPr>
            <w:tcW w:w="10852" w:type="dxa"/>
          </w:tcPr>
          <w:p>
            <w:pPr>
              <w:rPr>
                <w:rFonts w:hint="eastAsia" w:ascii="Times New Roman" w:hAnsi="Times New Roman" w:cs="Times New Roman"/>
                <w:sz w:val="24"/>
                <w:szCs w:val="24"/>
                <w:lang w:val="en-US" w:eastAsia="zh-CN"/>
              </w:rPr>
            </w:pPr>
            <w:r>
              <w:rPr>
                <w:rFonts w:hint="eastAsia" w:cs="Times New Roman"/>
                <w:sz w:val="24"/>
                <w:szCs w:val="24"/>
                <w:lang w:val="en-US" w:eastAsia="zh-CN"/>
              </w:rPr>
              <w:t>福建石狮晨光化纤染织有限公司</w:t>
            </w:r>
            <w:r>
              <w:rPr>
                <w:rFonts w:hint="eastAsia" w:ascii="Times New Roman" w:hAnsi="Times New Roman" w:cs="Times New Roman"/>
                <w:sz w:val="24"/>
                <w:szCs w:val="24"/>
                <w:lang w:val="en-US" w:eastAsia="zh-CN"/>
              </w:rPr>
              <w:t>是一家专业</w:t>
            </w:r>
            <w:r>
              <w:rPr>
                <w:rFonts w:hint="eastAsia" w:cs="Times New Roman"/>
                <w:sz w:val="24"/>
                <w:szCs w:val="24"/>
                <w:lang w:val="en-US" w:eastAsia="zh-CN"/>
              </w:rPr>
              <w:t>纺织线染整</w:t>
            </w:r>
            <w:r>
              <w:rPr>
                <w:rFonts w:hint="eastAsia" w:ascii="Times New Roman" w:hAnsi="Times New Roman" w:cs="Times New Roman"/>
                <w:sz w:val="24"/>
                <w:szCs w:val="24"/>
                <w:lang w:val="en-US" w:eastAsia="zh-CN"/>
              </w:rPr>
              <w:t>的企业,为国内客户提供高品质的各种</w:t>
            </w:r>
            <w:r>
              <w:rPr>
                <w:rFonts w:hint="eastAsia" w:cs="Times New Roman"/>
                <w:sz w:val="24"/>
                <w:szCs w:val="24"/>
                <w:lang w:val="en-US" w:eastAsia="zh-CN"/>
              </w:rPr>
              <w:t>纺织线、织带、面料的染整服务</w:t>
            </w:r>
            <w:r>
              <w:rPr>
                <w:rFonts w:hint="eastAsia" w:ascii="Times New Roman" w:hAnsi="Times New Roman" w:cs="Times New Roman"/>
                <w:sz w:val="24"/>
                <w:szCs w:val="24"/>
                <w:lang w:val="en-US" w:eastAsia="zh-CN"/>
              </w:rPr>
              <w:t>。公司在发展历程中，秉承“质量和创新是企业生命线”的理念形成具有专业技术的设计团队，配备专业的材料检测室、运输包装实验室，为客户设计和定制实用、安全、经济的整体包装解决方案。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通过运用多个数据化管理系统，形成产、供、销科学之规划和管理，并可以完全根据客户之不同要求设计、生产和包装，以此满足客户需要。 </w:t>
            </w:r>
          </w:p>
          <w:p>
            <w:pPr>
              <w:numPr>
                <w:ilvl w:val="0"/>
                <w:numId w:val="2"/>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工艺流程：</w:t>
            </w: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r>
              <w:drawing>
                <wp:inline distT="0" distB="0" distL="114300" distR="114300">
                  <wp:extent cx="6709410" cy="474980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709410" cy="4749800"/>
                          </a:xfrm>
                          <a:prstGeom prst="rect">
                            <a:avLst/>
                          </a:prstGeom>
                          <a:noFill/>
                          <a:ln>
                            <a:noFill/>
                          </a:ln>
                        </pic:spPr>
                      </pic:pic>
                    </a:graphicData>
                  </a:graphic>
                </wp:inline>
              </w:drawing>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生产控制情况：</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抽查：2019年、2020年和2021年1-6月份生产统计表（月报表）分析1-6能耗耗与产品的消耗等数据，对能源消耗进行控制</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三、设备管理</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提供：设备管理制度及生产设备台账，编制了设备管理制度和生产设备台账，记录生产设备</w:t>
            </w:r>
            <w:r>
              <w:rPr>
                <w:rFonts w:hint="eastAsia" w:cs="Times New Roman"/>
                <w:sz w:val="24"/>
                <w:szCs w:val="24"/>
                <w:lang w:val="en-US" w:eastAsia="zh-CN"/>
              </w:rPr>
              <w:t>180</w:t>
            </w:r>
            <w:r>
              <w:rPr>
                <w:rFonts w:hint="eastAsia" w:ascii="Times New Roman" w:hAnsi="Times New Roman" w:cs="Times New Roman"/>
                <w:sz w:val="24"/>
                <w:szCs w:val="24"/>
                <w:lang w:val="en-US" w:eastAsia="zh-CN"/>
              </w:rPr>
              <w:t>台，主要耗能3台空压机，但未对主要耗能设备进行识别，也未对主要耗能设备的能耗情况进行测试。——问题项</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四、能源计量管理：</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提供：C类测量设备管理台账（电表）、C类测量设备管理台账（水表）</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未对电表和水表的确认周期进行描述。——</w:t>
            </w:r>
            <w:r>
              <w:rPr>
                <w:rFonts w:hint="eastAsia" w:cs="Times New Roman"/>
                <w:sz w:val="24"/>
                <w:szCs w:val="24"/>
                <w:lang w:val="en-US" w:eastAsia="zh-CN"/>
              </w:rPr>
              <w:t>（水电表由供应单位负责校检）</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提供计量器具配备表，符合要求</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五、淘汰能耗落后工艺、设备概况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按照国家政策法规文件识别</w:t>
            </w:r>
            <w:r>
              <w:rPr>
                <w:rFonts w:hint="eastAsia" w:cs="Times New Roman"/>
                <w:sz w:val="24"/>
                <w:szCs w:val="24"/>
                <w:lang w:val="en-US" w:eastAsia="zh-CN"/>
              </w:rPr>
              <w:t>福建石狮晨光化纤染织有限公司</w:t>
            </w:r>
            <w:r>
              <w:rPr>
                <w:rFonts w:hint="eastAsia" w:ascii="Times New Roman" w:hAnsi="Times New Roman" w:cs="Times New Roman"/>
                <w:sz w:val="24"/>
                <w:szCs w:val="24"/>
                <w:lang w:val="en-US" w:eastAsia="zh-CN"/>
              </w:rPr>
              <w:t>无相关能耗落后的工艺，也无淘汰落后设备。</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六、能源绩效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能源限额管理：企业所处行业目前国家及地方未指定行管限额标准。</w:t>
            </w:r>
          </w:p>
          <w:p>
            <w:pPr>
              <w:rPr>
                <w:rFonts w:hint="eastAsia" w:ascii="Times New Roman" w:hAnsi="Times New Roman" w:cs="Times New Roman"/>
                <w:sz w:val="24"/>
                <w:szCs w:val="24"/>
                <w:lang w:val="en-US" w:eastAsia="zh-CN"/>
              </w:rPr>
            </w:pP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七、能耗绩效</w:t>
            </w:r>
          </w:p>
          <w:p>
            <w:pPr>
              <w:pStyle w:val="11"/>
              <w:ind w:left="0" w:leftChars="0" w:firstLine="0" w:firstLineChars="0"/>
              <w:rPr>
                <w:rFonts w:hint="eastAsia" w:ascii="宋体" w:hAnsi="宋体" w:eastAsia="宋体"/>
                <w:lang w:val="en-US" w:eastAsia="zh-CN"/>
              </w:rPr>
            </w:pPr>
          </w:p>
          <w:p>
            <w:pPr>
              <w:pStyle w:val="11"/>
              <w:ind w:left="0" w:leftChars="0" w:firstLine="0" w:firstLineChars="0"/>
              <w:rPr>
                <w:rFonts w:hint="eastAsia" w:ascii="宋体" w:hAnsi="宋体" w:eastAsia="宋体"/>
                <w:lang w:val="en-US" w:eastAsia="zh-CN"/>
              </w:rPr>
            </w:pPr>
            <w:r>
              <w:rPr>
                <w:rFonts w:hint="eastAsia" w:ascii="宋体" w:hAnsi="宋体" w:eastAsia="宋体"/>
                <w:lang w:val="en-US" w:eastAsia="zh-CN"/>
              </w:rPr>
              <w:t>2019年的单位产品能耗为：433.72kgce/t</w:t>
            </w:r>
          </w:p>
          <w:p>
            <w:pPr>
              <w:pStyle w:val="11"/>
              <w:ind w:left="0" w:leftChars="0" w:firstLine="0" w:firstLineChars="0"/>
              <w:rPr>
                <w:rFonts w:hint="eastAsia" w:ascii="宋体" w:hAnsi="宋体" w:eastAsia="宋体"/>
                <w:lang w:val="en-US" w:eastAsia="zh-CN"/>
              </w:rPr>
            </w:pPr>
            <w:r>
              <w:rPr>
                <w:rFonts w:hint="eastAsia" w:ascii="宋体" w:hAnsi="宋体" w:eastAsia="宋体"/>
                <w:lang w:val="en-US" w:eastAsia="zh-CN"/>
              </w:rPr>
              <w:t>2020年实际单位产品能耗为：439.54kgce/t；</w:t>
            </w:r>
          </w:p>
          <w:p>
            <w:pPr>
              <w:pStyle w:val="11"/>
              <w:ind w:left="0" w:leftChars="0" w:firstLine="0" w:firstLineChars="0"/>
              <w:rPr>
                <w:rFonts w:hint="eastAsia" w:ascii="宋体" w:hAnsi="宋体" w:eastAsia="宋体"/>
                <w:lang w:val="en-US" w:eastAsia="zh-CN"/>
              </w:rPr>
            </w:pPr>
            <w:r>
              <w:rPr>
                <w:rFonts w:hint="eastAsia" w:ascii="宋体" w:hAnsi="宋体" w:eastAsia="宋体"/>
                <w:lang w:val="en-US" w:eastAsia="zh-CN"/>
              </w:rPr>
              <w:t>2021年实际单位产品能耗为：109.27kgce/t；</w:t>
            </w:r>
          </w:p>
          <w:p>
            <w:pPr>
              <w:pStyle w:val="11"/>
              <w:ind w:left="0" w:leftChars="0" w:firstLine="0" w:firstLineChars="0"/>
              <w:rPr>
                <w:rFonts w:hint="eastAsia"/>
                <w:lang w:val="en-US" w:eastAsia="zh-CN"/>
              </w:rPr>
            </w:pPr>
          </w:p>
          <w:p>
            <w:pPr>
              <w:rPr>
                <w:rFonts w:hint="eastAsia"/>
                <w:lang w:val="en-US" w:eastAsia="zh-CN"/>
              </w:rPr>
            </w:pPr>
            <w:r>
              <w:rPr>
                <w:rFonts w:hint="eastAsia"/>
                <w:lang w:val="en-US" w:eastAsia="zh-CN"/>
              </w:rPr>
              <w:t>2019年-2021年单位产品能耗走势：</w:t>
            </w:r>
          </w:p>
          <w:p>
            <w:pPr>
              <w:pStyle w:val="2"/>
              <w:rPr>
                <w:rFonts w:hint="default"/>
                <w:lang w:val="en-US" w:eastAsia="zh-CN"/>
              </w:rPr>
            </w:pPr>
            <w:r>
              <w:drawing>
                <wp:inline distT="0" distB="0" distL="114300" distR="114300">
                  <wp:extent cx="6447790" cy="1418590"/>
                  <wp:effectExtent l="4445" t="5080" r="12065" b="1143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rPr>
                <w:rFonts w:hint="eastAsia" w:ascii="Times New Roman" w:hAnsi="Times New Roman" w:cs="Times New Roman"/>
                <w:sz w:val="24"/>
                <w:szCs w:val="24"/>
                <w:lang w:val="en-US" w:eastAsia="zh-CN"/>
              </w:rPr>
            </w:pPr>
          </w:p>
          <w:p>
            <w:pPr>
              <w:rPr>
                <w:rFonts w:hint="default" w:cs="Times New Roman"/>
                <w:sz w:val="24"/>
                <w:szCs w:val="24"/>
                <w:lang w:val="en-US" w:eastAsia="zh-CN"/>
              </w:rPr>
            </w:pPr>
            <w:r>
              <w:rPr>
                <w:rFonts w:hint="eastAsia" w:cs="Times New Roman"/>
                <w:sz w:val="24"/>
                <w:szCs w:val="24"/>
                <w:lang w:val="en-US" w:eastAsia="zh-CN"/>
              </w:rPr>
              <w:t>从2017年-2021年9月份的走势图上看，单位产品能耗是逐步下降的。</w:t>
            </w:r>
          </w:p>
          <w:p>
            <w:pPr>
              <w:rPr>
                <w:rFonts w:hint="eastAsia" w:cs="Times New Roman"/>
                <w:sz w:val="24"/>
                <w:szCs w:val="24"/>
                <w:lang w:val="en-US" w:eastAsia="zh-CN"/>
              </w:rPr>
            </w:pPr>
          </w:p>
          <w:p>
            <w:pPr>
              <w:rPr>
                <w:rFonts w:hint="eastAsia" w:cs="Times New Roman"/>
                <w:sz w:val="24"/>
                <w:szCs w:val="24"/>
                <w:lang w:val="en-US" w:eastAsia="zh-CN"/>
              </w:rPr>
            </w:pPr>
          </w:p>
          <w:p>
            <w:pPr>
              <w:rPr>
                <w:rFonts w:hint="eastAsia" w:ascii="Times New Roman" w:hAnsi="Times New Roman" w:cs="Times New Roman"/>
                <w:sz w:val="24"/>
                <w:szCs w:val="24"/>
                <w:lang w:val="en-US" w:eastAsia="zh-CN"/>
              </w:rPr>
            </w:pPr>
            <w:r>
              <w:rPr>
                <w:rFonts w:hint="eastAsia" w:cs="Times New Roman"/>
                <w:sz w:val="24"/>
                <w:szCs w:val="24"/>
                <w:lang w:val="en-US" w:eastAsia="zh-CN"/>
              </w:rPr>
              <w:t>八</w:t>
            </w:r>
            <w:r>
              <w:rPr>
                <w:rFonts w:hint="eastAsia" w:ascii="Times New Roman" w:hAnsi="Times New Roman" w:cs="Times New Roman"/>
                <w:sz w:val="24"/>
                <w:szCs w:val="24"/>
                <w:lang w:val="en-US" w:eastAsia="zh-CN"/>
              </w:rPr>
              <w:t>、现场巡视情况：</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现场查看生产控制和设备运行情况，部分生产设备正在运行现场生产秩序良好，未发现跑冒滴漏现象；</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现场计量设备有计量确认合格证。</w:t>
            </w:r>
          </w:p>
          <w:p>
            <w:pPr>
              <w:rPr>
                <w:rFonts w:hint="default"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cs="Times New Roman"/>
                <w:sz w:val="24"/>
                <w:szCs w:val="24"/>
                <w:lang w:val="en-US" w:eastAsia="zh-CN"/>
              </w:rPr>
              <w:t>九</w:t>
            </w:r>
            <w:r>
              <w:rPr>
                <w:rFonts w:hint="eastAsia" w:ascii="Times New Roman" w:hAnsi="Times New Roman" w:cs="Times New Roman"/>
                <w:sz w:val="24"/>
                <w:szCs w:val="24"/>
                <w:lang w:val="en-US" w:eastAsia="zh-CN"/>
              </w:rPr>
              <w:t>、生产控制及设备运行情况：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公司制定有</w:t>
            </w:r>
            <w:r>
              <w:rPr>
                <w:rFonts w:hint="eastAsia" w:cs="Times New Roman"/>
                <w:sz w:val="24"/>
                <w:szCs w:val="24"/>
                <w:lang w:val="en-US" w:eastAsia="zh-CN"/>
              </w:rPr>
              <w:t>染整</w:t>
            </w:r>
            <w:r>
              <w:rPr>
                <w:rFonts w:hint="eastAsia" w:ascii="Times New Roman" w:hAnsi="Times New Roman" w:cs="Times New Roman"/>
                <w:sz w:val="24"/>
                <w:szCs w:val="24"/>
                <w:lang w:val="en-US" w:eastAsia="zh-CN"/>
              </w:rPr>
              <w:t>操作规程和机加工操作规程，</w:t>
            </w:r>
            <w:r>
              <w:rPr>
                <w:rFonts w:hint="eastAsia" w:cs="Times New Roman"/>
                <w:sz w:val="24"/>
                <w:szCs w:val="24"/>
                <w:lang w:val="en-US" w:eastAsia="zh-CN"/>
              </w:rPr>
              <w:t>染整</w:t>
            </w:r>
            <w:r>
              <w:rPr>
                <w:rFonts w:hint="eastAsia" w:ascii="Times New Roman" w:hAnsi="Times New Roman" w:cs="Times New Roman"/>
                <w:sz w:val="24"/>
                <w:szCs w:val="24"/>
                <w:lang w:val="en-US" w:eastAsia="zh-CN"/>
              </w:rPr>
              <w:t>过程中严格按照操作规程进行，设备运转良好。</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eastAsia" w:cs="Times New Roman"/>
                <w:sz w:val="24"/>
                <w:szCs w:val="24"/>
                <w:lang w:val="en-US" w:eastAsia="zh-CN"/>
              </w:rPr>
              <w:t>公司</w:t>
            </w:r>
            <w:r>
              <w:rPr>
                <w:rFonts w:hint="eastAsia" w:ascii="Times New Roman" w:hAnsi="Times New Roman" w:cs="Times New Roman"/>
                <w:sz w:val="24"/>
                <w:szCs w:val="24"/>
                <w:lang w:val="en-US" w:eastAsia="zh-CN"/>
              </w:rPr>
              <w:t>建立了能源管理和用能奖惩制度，将用能指标分解，定期考核。</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按要求建立能耗计量、统计制度，建立能耗测试数据、能耗核算和分析结果的文件档案，并对文件进行受控管理。 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根据GB 17167和JJF 1356的要求配备和使用能源计量器具和仪器仪表，完善能源计量管理，能源计量数据应真实、准确和完整，并有可溯源的原始记录。</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（2）节能技术措施 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依靠技术进步，淘汰落后工艺和设备，采用有效节能的新技术、新工艺、新材料，新能源和可再生能源，提高能源利用效率。 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在用的各种通用耗能设备符合相关的国家用能产品经济运行标准要求，达到经济运行状态。  </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（2）生产过程中最大限度地加快速率，保证节能效果。</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4"/>
                <w:szCs w:val="24"/>
                <w:lang w:val="en-US" w:eastAsia="zh-CN"/>
              </w:rPr>
            </w:pPr>
            <w:r>
              <w:rPr>
                <w:rFonts w:hint="eastAsia"/>
                <w:sz w:val="24"/>
                <w:szCs w:val="24"/>
                <w:lang w:val="en-US" w:eastAsia="zh-CN"/>
              </w:rPr>
              <w:t>设计</w:t>
            </w:r>
          </w:p>
        </w:tc>
        <w:tc>
          <w:tcPr>
            <w:tcW w:w="960" w:type="dxa"/>
          </w:tcPr>
          <w:p>
            <w:pPr>
              <w:rPr>
                <w:rFonts w:hint="eastAsia"/>
                <w:sz w:val="24"/>
                <w:szCs w:val="24"/>
                <w:lang w:val="en-US" w:eastAsia="zh-CN"/>
              </w:rPr>
            </w:pPr>
            <w:r>
              <w:rPr>
                <w:rFonts w:hint="eastAsia"/>
                <w:sz w:val="24"/>
                <w:szCs w:val="24"/>
                <w:lang w:val="en-US" w:eastAsia="zh-CN"/>
              </w:rPr>
              <w:t>En8.2</w:t>
            </w:r>
          </w:p>
        </w:tc>
        <w:tc>
          <w:tcPr>
            <w:tcW w:w="10852" w:type="dxa"/>
          </w:tcPr>
          <w:p>
            <w:pPr>
              <w:rPr>
                <w:rFonts w:hint="default"/>
                <w:sz w:val="24"/>
                <w:szCs w:val="24"/>
                <w:lang w:val="en-US" w:eastAsia="zh-CN"/>
              </w:rPr>
            </w:pPr>
            <w:r>
              <w:rPr>
                <w:rFonts w:hint="eastAsia"/>
                <w:sz w:val="24"/>
                <w:szCs w:val="24"/>
                <w:lang w:val="en-US" w:eastAsia="zh-CN"/>
              </w:rPr>
              <w:t>公司用能种类和方式近几年没有设计新种类和方式。</w:t>
            </w:r>
            <w:bookmarkStart w:id="0" w:name="_GoBack"/>
            <w:bookmarkEnd w:id="0"/>
          </w:p>
        </w:tc>
        <w:tc>
          <w:tcPr>
            <w:tcW w:w="737" w:type="dxa"/>
          </w:tcPr>
          <w:p>
            <w:pPr>
              <w:rPr>
                <w:rFonts w:hint="eastAsia"/>
                <w:lang w:val="en-US" w:eastAsia="zh-CN"/>
              </w:rPr>
            </w:pPr>
          </w:p>
          <w:p>
            <w:pPr>
              <w:pStyle w:val="16"/>
              <w:rPr>
                <w:rFonts w:hint="default"/>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4"/>
                <w:szCs w:val="24"/>
                <w:lang w:val="en-US" w:eastAsia="zh-CN"/>
              </w:rPr>
            </w:pPr>
            <w:r>
              <w:rPr>
                <w:rFonts w:hint="eastAsia"/>
                <w:sz w:val="24"/>
                <w:szCs w:val="24"/>
                <w:lang w:val="en-US" w:eastAsia="zh-CN"/>
              </w:rPr>
              <w:t>能源绩效和能源管理体系的监视、测量、分析和评价 、</w:t>
            </w:r>
          </w:p>
        </w:tc>
        <w:tc>
          <w:tcPr>
            <w:tcW w:w="960" w:type="dxa"/>
          </w:tcPr>
          <w:p>
            <w:pPr>
              <w:rPr>
                <w:rFonts w:hint="default"/>
                <w:sz w:val="24"/>
                <w:szCs w:val="24"/>
                <w:lang w:val="en-US" w:eastAsia="zh-CN"/>
              </w:rPr>
            </w:pPr>
            <w:r>
              <w:rPr>
                <w:rFonts w:hint="eastAsia"/>
                <w:sz w:val="24"/>
                <w:szCs w:val="24"/>
                <w:lang w:val="en-US" w:eastAsia="zh-CN"/>
              </w:rPr>
              <w:t>En9.1.1</w:t>
            </w:r>
          </w:p>
        </w:tc>
        <w:tc>
          <w:tcPr>
            <w:tcW w:w="10852" w:type="dxa"/>
          </w:tcPr>
          <w:p>
            <w:pPr>
              <w:rPr>
                <w:rFonts w:hint="default"/>
                <w:sz w:val="24"/>
                <w:szCs w:val="24"/>
                <w:lang w:val="en-US" w:eastAsia="zh-CN"/>
              </w:rPr>
            </w:pPr>
            <w:r>
              <w:rPr>
                <w:rFonts w:hint="eastAsia"/>
                <w:sz w:val="24"/>
                <w:szCs w:val="24"/>
                <w:lang w:val="en-US" w:eastAsia="zh-CN"/>
              </w:rPr>
              <w:t>抽查能源统计分析情况：</w:t>
            </w:r>
          </w:p>
          <w:p>
            <w:pPr>
              <w:rPr>
                <w:rFonts w:hint="eastAsia"/>
                <w:sz w:val="24"/>
                <w:szCs w:val="24"/>
                <w:lang w:val="en-US" w:eastAsia="zh-CN"/>
              </w:rPr>
            </w:pPr>
            <w:r>
              <w:rPr>
                <w:rFonts w:hint="eastAsia"/>
                <w:sz w:val="24"/>
                <w:szCs w:val="24"/>
                <w:lang w:val="en-US" w:eastAsia="zh-CN"/>
              </w:rPr>
              <w:t>从2019年、2020年、2021年1-9月份的各种能源能耗统计来看，企业的单位产品能耗呈逐步下降之势，企业能耗控制较好。</w:t>
            </w:r>
          </w:p>
          <w:p>
            <w:pPr>
              <w:rPr>
                <w:rFonts w:hint="default"/>
                <w:sz w:val="24"/>
                <w:szCs w:val="24"/>
                <w:lang w:val="en-US" w:eastAsia="zh-CN"/>
              </w:rPr>
            </w:pPr>
            <w:r>
              <w:rPr>
                <w:rFonts w:hint="eastAsia"/>
                <w:sz w:val="24"/>
                <w:szCs w:val="24"/>
                <w:lang w:val="en-US" w:eastAsia="zh-CN"/>
              </w:rPr>
              <w:t>因此，企业应继续保持这种用能状况，操作设备时按操作规程进行操作，保持这种继续下降的形式。</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hint="default"/>
                <w:sz w:val="24"/>
                <w:szCs w:val="24"/>
                <w:lang w:val="en-US" w:eastAsia="zh-CN"/>
              </w:rPr>
            </w:pPr>
            <w:r>
              <w:rPr>
                <w:rFonts w:hint="eastAsia"/>
                <w:sz w:val="24"/>
                <w:szCs w:val="24"/>
                <w:lang w:val="en-US" w:eastAsia="zh-CN"/>
              </w:rPr>
              <w:t>不符合及纠正措施</w:t>
            </w:r>
          </w:p>
        </w:tc>
        <w:tc>
          <w:tcPr>
            <w:tcW w:w="960" w:type="dxa"/>
          </w:tcPr>
          <w:p>
            <w:pPr>
              <w:rPr>
                <w:rFonts w:hint="eastAsia"/>
                <w:sz w:val="24"/>
                <w:szCs w:val="24"/>
                <w:lang w:val="en-US" w:eastAsia="zh-CN"/>
              </w:rPr>
            </w:pPr>
            <w:r>
              <w:rPr>
                <w:rFonts w:hint="eastAsia"/>
                <w:sz w:val="24"/>
                <w:szCs w:val="24"/>
                <w:lang w:val="en-US" w:eastAsia="zh-CN"/>
              </w:rPr>
              <w:t>En10.1</w:t>
            </w:r>
          </w:p>
          <w:p>
            <w:pPr>
              <w:rPr>
                <w:rFonts w:hint="default"/>
                <w:sz w:val="24"/>
                <w:szCs w:val="24"/>
                <w:lang w:val="en-US" w:eastAsia="zh-CN"/>
              </w:rPr>
            </w:pPr>
          </w:p>
        </w:tc>
        <w:tc>
          <w:tcPr>
            <w:tcW w:w="10852" w:type="dxa"/>
          </w:tcPr>
          <w:p>
            <w:pPr>
              <w:rPr>
                <w:rFonts w:hint="eastAsia" w:eastAsia="宋体"/>
                <w:sz w:val="24"/>
                <w:szCs w:val="24"/>
                <w:lang w:val="en-US" w:eastAsia="zh-CN"/>
              </w:rPr>
            </w:pPr>
            <w:r>
              <w:rPr>
                <w:rFonts w:hint="eastAsia" w:eastAsia="宋体"/>
                <w:sz w:val="24"/>
                <w:szCs w:val="24"/>
                <w:lang w:val="en-US" w:eastAsia="zh-CN"/>
              </w:rPr>
              <w:t>公司已确定和选择改进机会，并采取必要措施改进能源管理体系，实现其能源管理体系的预期结果。</w:t>
            </w:r>
          </w:p>
          <w:p>
            <w:pPr>
              <w:rPr>
                <w:rFonts w:hint="eastAsia" w:eastAsia="宋体"/>
                <w:sz w:val="24"/>
                <w:szCs w:val="24"/>
                <w:lang w:val="en-US" w:eastAsia="zh-CN"/>
              </w:rPr>
            </w:pPr>
            <w:r>
              <w:rPr>
                <w:rFonts w:hint="eastAsia" w:eastAsia="宋体"/>
                <w:sz w:val="24"/>
                <w:szCs w:val="24"/>
                <w:lang w:val="en-US" w:eastAsia="zh-CN"/>
              </w:rPr>
              <w:t>针对能源管理体系运行中的不符合采取了有效纠正和纠正措施。针对下列方面采取了纠正措施：</w:t>
            </w:r>
          </w:p>
          <w:p>
            <w:pPr>
              <w:rPr>
                <w:rFonts w:hint="default"/>
                <w:sz w:val="24"/>
                <w:szCs w:val="24"/>
                <w:lang w:val="en-US" w:eastAsia="zh-CN"/>
              </w:rPr>
            </w:pPr>
            <w:r>
              <w:rPr>
                <w:rFonts w:hint="eastAsia" w:eastAsia="宋体"/>
                <w:sz w:val="24"/>
                <w:szCs w:val="24"/>
                <w:lang w:val="en-US" w:eastAsia="zh-CN"/>
              </w:rPr>
              <w:t>内审不符合项、外审不符合项、管理评审、目标统计分析结果和日常检查中发现的问题进行整改。</w:t>
            </w:r>
          </w:p>
        </w:tc>
        <w:tc>
          <w:tcPr>
            <w:tcW w:w="737" w:type="dxa"/>
          </w:tcPr>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60" w:type="dxa"/>
          </w:tcPr>
          <w:p>
            <w:pPr>
              <w:rPr>
                <w:rFonts w:hint="eastAsia"/>
                <w:sz w:val="24"/>
                <w:szCs w:val="24"/>
                <w:lang w:val="en-US" w:eastAsia="zh-CN"/>
              </w:rPr>
            </w:pPr>
            <w:r>
              <w:rPr>
                <w:rFonts w:hint="eastAsia"/>
                <w:sz w:val="24"/>
                <w:szCs w:val="24"/>
                <w:lang w:val="en-US" w:eastAsia="zh-CN"/>
              </w:rPr>
              <w:t>持续改进</w:t>
            </w:r>
          </w:p>
        </w:tc>
        <w:tc>
          <w:tcPr>
            <w:tcW w:w="960" w:type="dxa"/>
          </w:tcPr>
          <w:p>
            <w:pPr>
              <w:rPr>
                <w:rFonts w:hint="default"/>
                <w:sz w:val="24"/>
                <w:szCs w:val="24"/>
                <w:lang w:val="en-US" w:eastAsia="zh-CN"/>
              </w:rPr>
            </w:pPr>
            <w:r>
              <w:rPr>
                <w:rFonts w:hint="eastAsia"/>
                <w:sz w:val="24"/>
                <w:szCs w:val="24"/>
                <w:lang w:val="en-US" w:eastAsia="zh-CN"/>
              </w:rPr>
              <w:t>En10.2</w:t>
            </w:r>
          </w:p>
        </w:tc>
        <w:tc>
          <w:tcPr>
            <w:tcW w:w="10852" w:type="dxa"/>
          </w:tcPr>
          <w:p>
            <w:pPr>
              <w:rPr>
                <w:rFonts w:hint="default"/>
                <w:sz w:val="24"/>
                <w:szCs w:val="24"/>
                <w:lang w:val="en-US" w:eastAsia="zh-CN"/>
              </w:rPr>
            </w:pPr>
            <w:r>
              <w:rPr>
                <w:rFonts w:hint="eastAsia"/>
                <w:sz w:val="24"/>
                <w:szCs w:val="24"/>
                <w:lang w:val="en-US" w:eastAsia="zh-CN"/>
              </w:rPr>
              <w:t>公司利用日常跑冒滴漏检查、每月的能源目标考核、每年度的内部审核和管理评审，进行持续改进工作。</w:t>
            </w:r>
          </w:p>
        </w:tc>
        <w:tc>
          <w:tcPr>
            <w:tcW w:w="737" w:type="dxa"/>
          </w:tcPr>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y</w:t>
            </w:r>
          </w:p>
        </w:tc>
      </w:tr>
    </w:tbl>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9"/>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21"/>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10BFA"/>
    <w:multiLevelType w:val="singleLevel"/>
    <w:tmpl w:val="C5810BFA"/>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japaneseCounting"/>
      <w:pStyle w:val="22"/>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4D1777A"/>
    <w:rsid w:val="08AA61DA"/>
    <w:rsid w:val="108219C2"/>
    <w:rsid w:val="121F331F"/>
    <w:rsid w:val="12BD1A3D"/>
    <w:rsid w:val="17713A05"/>
    <w:rsid w:val="19023DF5"/>
    <w:rsid w:val="19A11294"/>
    <w:rsid w:val="1BBB5B16"/>
    <w:rsid w:val="1CA177E3"/>
    <w:rsid w:val="1D5C5E94"/>
    <w:rsid w:val="1E92443A"/>
    <w:rsid w:val="1F303612"/>
    <w:rsid w:val="21512126"/>
    <w:rsid w:val="23027998"/>
    <w:rsid w:val="25726879"/>
    <w:rsid w:val="265042EE"/>
    <w:rsid w:val="267E0009"/>
    <w:rsid w:val="26C87B64"/>
    <w:rsid w:val="29550A82"/>
    <w:rsid w:val="29A207B7"/>
    <w:rsid w:val="2B2E4087"/>
    <w:rsid w:val="2CC56303"/>
    <w:rsid w:val="32833D86"/>
    <w:rsid w:val="34297E06"/>
    <w:rsid w:val="345E4998"/>
    <w:rsid w:val="34C03FE6"/>
    <w:rsid w:val="356819F8"/>
    <w:rsid w:val="37022033"/>
    <w:rsid w:val="3C054514"/>
    <w:rsid w:val="3FD87230"/>
    <w:rsid w:val="3FFE0167"/>
    <w:rsid w:val="400168D5"/>
    <w:rsid w:val="41A35C33"/>
    <w:rsid w:val="49907112"/>
    <w:rsid w:val="4D3C5E44"/>
    <w:rsid w:val="4EB06CE3"/>
    <w:rsid w:val="5062731F"/>
    <w:rsid w:val="51B355DC"/>
    <w:rsid w:val="51B74774"/>
    <w:rsid w:val="51CB0431"/>
    <w:rsid w:val="52E3673F"/>
    <w:rsid w:val="55394D7B"/>
    <w:rsid w:val="56955064"/>
    <w:rsid w:val="58F45158"/>
    <w:rsid w:val="5EA12B9A"/>
    <w:rsid w:val="60A703C5"/>
    <w:rsid w:val="619A01E9"/>
    <w:rsid w:val="69666ED4"/>
    <w:rsid w:val="69CE09A0"/>
    <w:rsid w:val="6A997D30"/>
    <w:rsid w:val="6B317C7C"/>
    <w:rsid w:val="6C3312C7"/>
    <w:rsid w:val="6C852FED"/>
    <w:rsid w:val="71553843"/>
    <w:rsid w:val="72F0497F"/>
    <w:rsid w:val="75532C29"/>
    <w:rsid w:val="77DF039E"/>
    <w:rsid w:val="788C0C63"/>
    <w:rsid w:val="7A780C5C"/>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b/>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6">
    <w:name w:val="Normal Indent"/>
    <w:basedOn w:val="1"/>
    <w:qFormat/>
    <w:uiPriority w:val="0"/>
    <w:pPr>
      <w:ind w:firstLine="420"/>
    </w:pPr>
    <w:rPr>
      <w:szCs w:val="20"/>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paragraph" w:styleId="11">
    <w:name w:val="Body Text First Indent"/>
    <w:basedOn w:val="2"/>
    <w:unhideWhenUsed/>
    <w:qFormat/>
    <w:uiPriority w:val="99"/>
    <w:pPr>
      <w:ind w:firstLine="420" w:firstLineChars="100"/>
    </w:pPr>
  </w:style>
  <w:style w:type="table" w:styleId="13">
    <w:name w:val="Table Grid"/>
    <w:basedOn w:val="12"/>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color w:val="0000FF"/>
      <w:u w:val="single"/>
    </w:rPr>
  </w:style>
  <w:style w:type="paragraph" w:customStyle="1" w:styleId="16">
    <w:name w:val="表格文字"/>
    <w:basedOn w:val="1"/>
    <w:qFormat/>
    <w:uiPriority w:val="0"/>
    <w:pPr>
      <w:spacing w:before="25" w:after="25"/>
    </w:pPr>
    <w:rPr>
      <w:bCs/>
      <w:spacing w:val="10"/>
    </w:rPr>
  </w:style>
  <w:style w:type="paragraph" w:customStyle="1" w:styleId="1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18">
    <w:name w:val="页眉 字符"/>
    <w:basedOn w:val="14"/>
    <w:link w:val="9"/>
    <w:qFormat/>
    <w:uiPriority w:val="99"/>
    <w:rPr>
      <w:rFonts w:ascii="Times New Roman" w:hAnsi="Times New Roman" w:eastAsia="宋体" w:cs="Times New Roman"/>
      <w:sz w:val="18"/>
      <w:szCs w:val="18"/>
    </w:rPr>
  </w:style>
  <w:style w:type="character" w:customStyle="1" w:styleId="19">
    <w:name w:val="页脚 字符"/>
    <w:basedOn w:val="14"/>
    <w:link w:val="8"/>
    <w:qFormat/>
    <w:uiPriority w:val="99"/>
    <w:rPr>
      <w:rFonts w:ascii="Times New Roman" w:hAnsi="Times New Roman" w:eastAsia="宋体" w:cs="Times New Roman"/>
      <w:sz w:val="18"/>
      <w:szCs w:val="18"/>
    </w:rPr>
  </w:style>
  <w:style w:type="character" w:customStyle="1" w:styleId="20">
    <w:name w:val="批注框文本 字符"/>
    <w:basedOn w:val="14"/>
    <w:link w:val="7"/>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23">
    <w:name w:val="List Paragraph"/>
    <w:basedOn w:val="1"/>
    <w:qFormat/>
    <w:uiPriority w:val="34"/>
    <w:pPr>
      <w:ind w:firstLine="420" w:firstLineChars="200"/>
    </w:pPr>
  </w:style>
  <w:style w:type="character" w:customStyle="1" w:styleId="24">
    <w:name w:val="g"/>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3457;&#26680;&#36164;&#26009;\&#33021;&#28304;\&#22269;&#26631;&#32852;&#21512;\2021.7-10\7&#31119;&#24314;&#30707;&#29422;&#26216;&#20809;&#21270;&#32420;&#26579;&#32455;&#26377;&#38480;&#20844;&#21496;-------------------\5\2017-2021&#27700;&#30005;&#27668;&#27745;&#277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lineChart>
        <c:grouping val="standard"/>
        <c:varyColors val="0"/>
        <c:ser>
          <c:idx val="0"/>
          <c:order val="0"/>
          <c:spPr>
            <a:ln w="28575" cap="rnd">
              <a:solidFill>
                <a:srgbClr val="4F81BD"/>
              </a:solidFill>
              <a:round/>
            </a:ln>
            <a:effectLst/>
          </c:spPr>
          <c:marker>
            <c:symbol val="none"/>
          </c:marker>
          <c:dLbls>
            <c:delete val="1"/>
          </c:dLbls>
          <c:cat>
            <c:strRef>
              <c:f>'[2017-2021水电气污水.xlsx]2019水电气用量'!$H$15:$H$17</c:f>
              <c:strCache>
                <c:ptCount val="3"/>
                <c:pt idx="0">
                  <c:v>2019年</c:v>
                </c:pt>
                <c:pt idx="1">
                  <c:v>2020年</c:v>
                </c:pt>
                <c:pt idx="2">
                  <c:v>2021年至9月</c:v>
                </c:pt>
              </c:strCache>
            </c:strRef>
          </c:cat>
          <c:val>
            <c:numRef>
              <c:f>'[2017-2021水电气污水.xlsx]2019水电气用量'!$I$15:$I$17</c:f>
              <c:numCache>
                <c:formatCode>General</c:formatCode>
                <c:ptCount val="3"/>
                <c:pt idx="0">
                  <c:v>433.72</c:v>
                </c:pt>
                <c:pt idx="1">
                  <c:v>439.54</c:v>
                </c:pt>
                <c:pt idx="2">
                  <c:v>109.27</c:v>
                </c:pt>
              </c:numCache>
            </c:numRef>
          </c:val>
          <c:smooth val="0"/>
        </c:ser>
        <c:dLbls>
          <c:showLegendKey val="0"/>
          <c:showVal val="0"/>
          <c:showCatName val="0"/>
          <c:showSerName val="0"/>
          <c:showPercent val="0"/>
          <c:showBubbleSize val="0"/>
        </c:dLbls>
        <c:marker val="0"/>
        <c:smooth val="0"/>
        <c:axId val="589958792"/>
        <c:axId val="750400747"/>
      </c:lineChart>
      <c:catAx>
        <c:axId val="589958792"/>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50400747"/>
        <c:crosses val="autoZero"/>
        <c:auto val="1"/>
        <c:lblAlgn val="ctr"/>
        <c:lblOffset val="100"/>
        <c:noMultiLvlLbl val="0"/>
      </c:catAx>
      <c:valAx>
        <c:axId val="750400747"/>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89958792"/>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179</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2021-12-08T14:28:31Z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A2A87B4AA3C04090A0C757B97B7400CA</vt:lpwstr>
  </property>
</Properties>
</file>