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1209-2021-QEO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四川省琳尔职业服饰有限公司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四川省琳尔职业服饰有限公司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四川省巴中市恩阳区明阳镇工业园区团结社区2组</w:t>
            </w:r>
            <w:bookmarkEnd w:id="6"/>
          </w:p>
        </w:tc>
        <w:tc>
          <w:tcPr>
            <w:tcW w:w="1242" w:type="dxa"/>
            <w:vMerge w:val="restart"/>
            <w:vAlign w:val="center"/>
          </w:tcPr>
          <w:p>
            <w:r>
              <w:rPr>
                <w:rFonts w:hint="eastAsia"/>
              </w:rPr>
              <w:t>邮编</w:t>
            </w:r>
          </w:p>
        </w:tc>
        <w:tc>
          <w:tcPr>
            <w:tcW w:w="1771" w:type="dxa"/>
          </w:tcPr>
          <w:p>
            <w:bookmarkStart w:id="7" w:name="注册邮编"/>
            <w:r>
              <w:t>636600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四川省巴中市恩阳区明阳镇工业园区团结社区2组</w:t>
            </w:r>
            <w:bookmarkEnd w:id="8"/>
          </w:p>
        </w:tc>
        <w:tc>
          <w:tcPr>
            <w:tcW w:w="1242" w:type="dxa"/>
            <w:vMerge w:val="continue"/>
            <w:vAlign w:val="center"/>
          </w:tcPr>
          <w:p/>
        </w:tc>
        <w:tc>
          <w:tcPr>
            <w:tcW w:w="1771" w:type="dxa"/>
          </w:tcPr>
          <w:p>
            <w:bookmarkStart w:id="9" w:name="办公邮编"/>
            <w:r>
              <w:t>636600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李强</w:t>
            </w:r>
            <w:bookmarkEnd w:id="10"/>
          </w:p>
        </w:tc>
        <w:tc>
          <w:tcPr>
            <w:tcW w:w="1313" w:type="dxa"/>
            <w:vAlign w:val="center"/>
          </w:tcPr>
          <w:p>
            <w:r>
              <w:rPr>
                <w:rFonts w:hint="eastAsia"/>
              </w:rPr>
              <w:t>电话.</w:t>
            </w:r>
          </w:p>
        </w:tc>
        <w:tc>
          <w:tcPr>
            <w:tcW w:w="2180" w:type="dxa"/>
            <w:vAlign w:val="center"/>
          </w:tcPr>
          <w:p>
            <w:bookmarkStart w:id="11" w:name="联系人电话"/>
            <w:r>
              <w:t>19130306819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王琼华</w:t>
            </w:r>
            <w:bookmarkEnd w:id="13"/>
          </w:p>
        </w:tc>
        <w:tc>
          <w:tcPr>
            <w:tcW w:w="1313" w:type="dxa"/>
            <w:vAlign w:val="center"/>
          </w:tcPr>
          <w:p>
            <w:r>
              <w:rPr>
                <w:rFonts w:hint="eastAsia"/>
              </w:rPr>
              <w:t>管理者代表</w:t>
            </w:r>
          </w:p>
        </w:tc>
        <w:tc>
          <w:tcPr>
            <w:tcW w:w="2180" w:type="dxa"/>
          </w:tcPr>
          <w:p>
            <w:bookmarkStart w:id="14" w:name="管理者代表"/>
            <w:r>
              <w:t>李华永</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color w:val="000000"/>
                <w:szCs w:val="21"/>
              </w:rPr>
              <w:t>排唛→裁剪→粘合→缝纫→剪线头→整烫→检验→包装入库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2021年12月16日 下午至2021年12月18日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Q：校服及职业服的加工和销售</w:t>
            </w:r>
          </w:p>
          <w:p>
            <w:r>
              <w:t>E：校服及职业服的加工和销售所涉及场所的相关环境管理活动</w:t>
            </w:r>
          </w:p>
          <w:p>
            <w:r>
              <w:t>O：校服及职业服的加工和销售所涉及场所的相关职业健康安全管理活动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Q：04.05.02;04.05.05</w:t>
            </w:r>
          </w:p>
          <w:p>
            <w:r>
              <w:t>E：04.05.02;04.05.05</w:t>
            </w:r>
          </w:p>
          <w:p>
            <w:r>
              <w:t>O：04.05.02;04.05.05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666"/>
        <w:gridCol w:w="1400"/>
        <w:gridCol w:w="440"/>
        <w:gridCol w:w="3000"/>
        <w:gridCol w:w="18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917" w:type="dxa"/>
            <w:shd w:val="clear" w:color="auto" w:fill="F3F3F3"/>
            <w:tcMar>
              <w:left w:w="57" w:type="dxa"/>
              <w:right w:w="57" w:type="dxa"/>
            </w:tcMar>
          </w:tcPr>
          <w:p>
            <w:r>
              <w:rPr>
                <w:rFonts w:hint="eastAsia"/>
              </w:rPr>
              <w:t>场所编号</w:t>
            </w:r>
          </w:p>
          <w:p>
            <w:r>
              <w:rPr>
                <w:rFonts w:hint="eastAsia"/>
              </w:rPr>
              <w:t>(分证书序号）</w:t>
            </w:r>
          </w:p>
        </w:tc>
        <w:tc>
          <w:tcPr>
            <w:tcW w:w="1666" w:type="dxa"/>
            <w:shd w:val="clear" w:color="auto" w:fill="F3F3F3"/>
            <w:tcMar>
              <w:left w:w="57" w:type="dxa"/>
              <w:right w:w="57" w:type="dxa"/>
            </w:tcMar>
          </w:tcPr>
          <w:p>
            <w:r>
              <w:rPr>
                <w:rFonts w:hint="eastAsia"/>
              </w:rPr>
              <w:t>组织名称及注册场所地址</w:t>
            </w:r>
          </w:p>
        </w:tc>
        <w:tc>
          <w:tcPr>
            <w:tcW w:w="1400" w:type="dxa"/>
            <w:shd w:val="clear" w:color="auto" w:fill="F3F3F3"/>
            <w:tcMar>
              <w:left w:w="57" w:type="dxa"/>
              <w:right w:w="57" w:type="dxa"/>
            </w:tcMar>
          </w:tcPr>
          <w:p>
            <w:r>
              <w:rPr>
                <w:rFonts w:hint="eastAsia"/>
              </w:rPr>
              <w:t>经营场所的地址</w:t>
            </w:r>
          </w:p>
          <w:p>
            <w:r>
              <w:rPr>
                <w:rFonts w:hint="eastAsia"/>
              </w:rPr>
              <w:t>（多现场和临时现场）</w:t>
            </w:r>
          </w:p>
        </w:tc>
        <w:tc>
          <w:tcPr>
            <w:tcW w:w="440" w:type="dxa"/>
            <w:shd w:val="clear" w:color="auto" w:fill="F3F3F3"/>
            <w:tcMar>
              <w:left w:w="57" w:type="dxa"/>
              <w:right w:w="57" w:type="dxa"/>
            </w:tcMar>
          </w:tcPr>
          <w:p>
            <w:r>
              <w:rPr>
                <w:rFonts w:hint="eastAsia"/>
              </w:rPr>
              <w:t>员工人数</w:t>
            </w:r>
          </w:p>
        </w:tc>
        <w:tc>
          <w:tcPr>
            <w:tcW w:w="3000" w:type="dxa"/>
            <w:shd w:val="clear" w:color="auto" w:fill="F3F3F3"/>
            <w:tcMar>
              <w:left w:w="57" w:type="dxa"/>
              <w:right w:w="57" w:type="dxa"/>
            </w:tcMar>
          </w:tcPr>
          <w:p>
            <w:r>
              <w:rPr>
                <w:rFonts w:hint="eastAsia"/>
              </w:rPr>
              <w:t>审核范围（产品和过程）</w:t>
            </w:r>
          </w:p>
          <w:p/>
          <w:p/>
        </w:tc>
        <w:tc>
          <w:tcPr>
            <w:tcW w:w="18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17" w:type="dxa"/>
            <w:vAlign w:val="center"/>
          </w:tcPr>
          <w:p>
            <w:pPr>
              <w:rPr>
                <w:lang w:eastAsia="ja-JP"/>
              </w:rPr>
            </w:pPr>
            <w:r>
              <w:rPr>
                <w:rFonts w:hint="eastAsia"/>
                <w:lang w:eastAsia="ja-JP"/>
              </w:rPr>
              <w:t>01</w:t>
            </w:r>
          </w:p>
        </w:tc>
        <w:tc>
          <w:tcPr>
            <w:tcW w:w="1666"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四川省琳尔职业服饰有限公司</w:t>
            </w:r>
            <w:r>
              <w:rPr>
                <w:rFonts w:hint="eastAsia"/>
                <w:sz w:val="21"/>
                <w:szCs w:val="21"/>
                <w:lang w:val="en-US" w:eastAsia="zh-CN"/>
              </w:rPr>
              <w:t>/</w:t>
            </w:r>
            <w:r>
              <w:rPr>
                <w:sz w:val="21"/>
                <w:szCs w:val="21"/>
              </w:rPr>
              <w:t>四川省巴中市恩阳区明阳镇工业园区团结社区2组</w:t>
            </w:r>
          </w:p>
        </w:tc>
        <w:tc>
          <w:tcPr>
            <w:tcW w:w="1400"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四川省巴中市恩阳区明阳镇工业园区团结社区2组</w:t>
            </w:r>
          </w:p>
        </w:tc>
        <w:tc>
          <w:tcPr>
            <w:tcW w:w="44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24</w:t>
            </w:r>
          </w:p>
        </w:tc>
        <w:tc>
          <w:tcPr>
            <w:tcW w:w="3000" w:type="dxa"/>
            <w:vAlign w:val="center"/>
          </w:tcPr>
          <w:p>
            <w:pPr>
              <w:spacing w:before="40" w:after="40"/>
              <w:rPr>
                <w:rFonts w:ascii="Times New Roman" w:hAnsi="Times New Roman" w:eastAsia="黑体" w:cs="Times New Roman"/>
                <w:szCs w:val="21"/>
                <w:lang w:eastAsia="ja-JP"/>
              </w:rPr>
            </w:pPr>
            <w:r>
              <w:rPr>
                <w:rFonts w:ascii="Times New Roman" w:hAnsi="Times New Roman" w:eastAsia="黑体" w:cs="Times New Roman"/>
                <w:szCs w:val="21"/>
                <w:lang w:eastAsia="ja-JP"/>
              </w:rPr>
              <w:t>Q：校服及职业服的加工和销售</w:t>
            </w:r>
          </w:p>
          <w:p>
            <w:pPr>
              <w:spacing w:before="40" w:after="40"/>
              <w:rPr>
                <w:rFonts w:ascii="Times New Roman" w:hAnsi="Times New Roman" w:eastAsia="黑体" w:cs="Times New Roman"/>
                <w:szCs w:val="21"/>
                <w:lang w:eastAsia="ja-JP"/>
              </w:rPr>
            </w:pPr>
            <w:r>
              <w:rPr>
                <w:rFonts w:ascii="Times New Roman" w:hAnsi="Times New Roman" w:eastAsia="黑体" w:cs="Times New Roman"/>
                <w:szCs w:val="21"/>
                <w:lang w:eastAsia="ja-JP"/>
              </w:rPr>
              <w:t>E：校服及职业服的加工和销售所涉及场所的相关环境管理活动</w:t>
            </w:r>
          </w:p>
          <w:p>
            <w:pPr>
              <w:spacing w:before="40" w:after="40"/>
              <w:rPr>
                <w:rFonts w:ascii="Times New Roman" w:hAnsi="Times New Roman" w:eastAsia="黑体" w:cs="Times New Roman"/>
                <w:kern w:val="2"/>
                <w:sz w:val="21"/>
                <w:szCs w:val="21"/>
                <w:lang w:val="en-US" w:eastAsia="ja-JP" w:bidi="ar-SA"/>
              </w:rPr>
            </w:pPr>
            <w:r>
              <w:rPr>
                <w:rFonts w:ascii="Times New Roman" w:hAnsi="Times New Roman" w:eastAsia="黑体" w:cs="Times New Roman"/>
                <w:szCs w:val="21"/>
                <w:lang w:eastAsia="ja-JP"/>
              </w:rPr>
              <w:t>O：校服及职业服的加工和销售所涉及场所的相关职业健康安全管理活动</w:t>
            </w:r>
          </w:p>
        </w:tc>
        <w:tc>
          <w:tcPr>
            <w:tcW w:w="1801" w:type="dxa"/>
            <w:vAlign w:val="center"/>
          </w:tcPr>
          <w:p>
            <w:pPr>
              <w:jc w:val="left"/>
              <w:rPr>
                <w:rFonts w:ascii="宋体" w:hAnsi="宋体"/>
                <w:b/>
                <w:sz w:val="21"/>
                <w:szCs w:val="21"/>
              </w:rPr>
            </w:pPr>
            <w:r>
              <w:rPr>
                <w:rFonts w:hint="eastAsia" w:ascii="宋体" w:hAnsi="宋体"/>
                <w:b/>
                <w:sz w:val="21"/>
                <w:szCs w:val="21"/>
                <w:lang w:val="en-US" w:eastAsia="zh-CN"/>
              </w:rPr>
              <w:t>G</w:t>
            </w:r>
            <w:r>
              <w:rPr>
                <w:rFonts w:hint="eastAsia" w:ascii="宋体" w:hAnsi="宋体"/>
                <w:b/>
                <w:sz w:val="21"/>
                <w:szCs w:val="21"/>
              </w:rPr>
              <w:t>B/T19001-2016/ISO 9001:2015   GB/T24001-2016/ISO 14001:2015</w:t>
            </w:r>
          </w:p>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GB/T45001-2020/ISO45001：2020标准</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2019-N1QMS-1242345</w:t>
            </w:r>
          </w:p>
          <w:p>
            <w:r>
              <w:t>2019-N1EMS-1242345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蒋晓琳</w:t>
            </w:r>
          </w:p>
        </w:tc>
        <w:tc>
          <w:tcPr>
            <w:tcW w:w="1089" w:type="dxa"/>
            <w:vAlign w:val="center"/>
          </w:tcPr>
          <w:p>
            <w:r>
              <w:t>组员</w:t>
            </w:r>
          </w:p>
        </w:tc>
        <w:tc>
          <w:tcPr>
            <w:tcW w:w="711" w:type="dxa"/>
            <w:vAlign w:val="center"/>
          </w:tcPr>
          <w:p>
            <w:r>
              <w:t>女</w:t>
            </w:r>
          </w:p>
        </w:tc>
        <w:tc>
          <w:tcPr>
            <w:tcW w:w="3870" w:type="dxa"/>
            <w:vAlign w:val="center"/>
          </w:tcPr>
          <w:p>
            <w:r>
              <w:t>ISC-JSZJ-435</w:t>
            </w:r>
          </w:p>
          <w:p>
            <w:r>
              <w:t>ISC-JSZJ-435</w:t>
            </w:r>
          </w:p>
          <w:p>
            <w:r>
              <w:t>ISC-JSZJ-435</w:t>
            </w:r>
          </w:p>
          <w:p>
            <w:r>
              <w:t>四川海纳尔服饰有限公司</w:t>
            </w:r>
          </w:p>
        </w:tc>
        <w:tc>
          <w:tcPr>
            <w:tcW w:w="2179" w:type="dxa"/>
            <w:vAlign w:val="center"/>
          </w:tcPr>
          <w:p>
            <w:r>
              <w:t>Q:04.05.02,04.05.05</w:t>
            </w:r>
          </w:p>
          <w:p>
            <w:r>
              <w:t>E:04.05.02,04.05.05</w:t>
            </w:r>
          </w:p>
          <w:p>
            <w:r>
              <w:t>O:04.05.02,04.05.05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已在二阶段开具不符合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ascii="宋体" w:hAnsi="宋体"/>
                <w:b/>
                <w:color w:val="000000"/>
                <w:szCs w:val="21"/>
              </w:rPr>
              <w:t>校服及职业服的加工和销售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ascii="宋体" w:hAnsi="宋体"/>
                <w:b/>
                <w:color w:val="000000"/>
                <w:szCs w:val="21"/>
              </w:rPr>
              <w:t>校服及职业服的加工和销售所涉及场所的相关环境管理活动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ascii="宋体" w:hAnsi="宋体"/>
                <w:b/>
                <w:color w:val="000000"/>
                <w:szCs w:val="21"/>
              </w:rPr>
              <w:t>校服及职业服的加工和销售所涉及场所的相关职业健康安全管理活动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□工艺 </w:t>
                  </w:r>
                  <w:r>
                    <w:rPr>
                      <w:rFonts w:hint="eastAsia"/>
                    </w:rPr>
                    <w:sym w:font="Wingdings 2" w:char="0052"/>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以人为本、以客为尊、为职求存、追求高效、服务大效；节能降耗、改善环境、美化家园、造福人类、持续改进；关爱健康、控制风险、保障安全、珍爱生命、幸福生活。</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生产部、品控部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产品质量不达标，造成客户流失</w:t>
                  </w:r>
                </w:p>
              </w:tc>
              <w:tc>
                <w:tcPr>
                  <w:tcW w:w="3965" w:type="dxa"/>
                  <w:vAlign w:val="top"/>
                </w:tcPr>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1.质量管理部门严格把控生产质量要求，并编制作业指导书，确保公司生产产品达到国家标准和客户质量要求；</w:t>
                  </w:r>
                </w:p>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2.生产过程中落实全过程检验，合格后方可放行，并做好记录。</w:t>
                  </w:r>
                </w:p>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3.外购原材料需做好检验、功能测试及检验或资质证明验证。</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4.负责业务、质量或技术的人员不定期沟通客户要求，确保产品质量满足客户要求。</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2987"/>
              <w:gridCol w:w="1299"/>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87"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299"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shd w:val="clear" w:color="auto" w:fill="auto"/>
                  <w:vAlign w:val="top"/>
                </w:tcPr>
                <w:p>
                  <w:pPr>
                    <w:tabs>
                      <w:tab w:val="left" w:pos="5824"/>
                    </w:tabs>
                    <w:spacing w:line="360" w:lineRule="auto"/>
                    <w:rPr>
                      <w:rFonts w:hint="default" w:ascii="Times New Roman" w:hAnsi="Times New Roman" w:eastAsia="宋体" w:cs="Times New Roman"/>
                      <w:kern w:val="2"/>
                      <w:sz w:val="18"/>
                      <w:szCs w:val="21"/>
                      <w:lang w:val="en-US" w:eastAsia="zh-CN" w:bidi="ar-SA"/>
                    </w:rPr>
                  </w:pPr>
                  <w:r>
                    <w:rPr>
                      <w:rFonts w:hint="eastAsia"/>
                      <w:sz w:val="18"/>
                      <w:szCs w:val="21"/>
                    </w:rPr>
                    <w:t>产品检验合格率</w:t>
                  </w:r>
                  <w:r>
                    <w:rPr>
                      <w:rFonts w:hint="eastAsia"/>
                      <w:sz w:val="18"/>
                      <w:szCs w:val="21"/>
                      <w:lang w:val="en-US" w:eastAsia="zh-CN"/>
                    </w:rPr>
                    <w:t>95%以上</w:t>
                  </w:r>
                </w:p>
              </w:tc>
              <w:tc>
                <w:tcPr>
                  <w:tcW w:w="2987" w:type="dxa"/>
                  <w:shd w:val="clear" w:color="auto" w:fill="auto"/>
                  <w:vAlign w:val="top"/>
                </w:tcPr>
                <w:p>
                  <w:pPr>
                    <w:widowControl/>
                    <w:spacing w:before="40"/>
                    <w:jc w:val="left"/>
                    <w:rPr>
                      <w:rFonts w:ascii="Times New Roman" w:hAnsi="Times New Roman" w:eastAsia="宋体" w:cs="Times New Roman"/>
                      <w:color w:val="000000"/>
                      <w:kern w:val="2"/>
                      <w:sz w:val="18"/>
                      <w:szCs w:val="15"/>
                      <w:highlight w:val="cyan"/>
                      <w:lang w:val="en-GB" w:eastAsia="zh-CN" w:bidi="ar-SA"/>
                    </w:rPr>
                  </w:pPr>
                  <w:r>
                    <w:rPr>
                      <w:rFonts w:hint="eastAsia" w:ascii="Times New Roman" w:hAnsi="Times New Roman" w:eastAsia="宋体" w:cs="Times New Roman"/>
                      <w:color w:val="000000"/>
                      <w:sz w:val="18"/>
                      <w:szCs w:val="15"/>
                      <w:highlight w:val="none"/>
                      <w:lang w:val="en-US" w:eastAsia="zh-CN"/>
                    </w:rPr>
                    <w:t>产品合格数/产品检验数</w:t>
                  </w:r>
                </w:p>
              </w:tc>
              <w:tc>
                <w:tcPr>
                  <w:tcW w:w="1299" w:type="dxa"/>
                  <w:shd w:val="clear" w:color="auto" w:fill="auto"/>
                  <w:vAlign w:val="center"/>
                </w:tcPr>
                <w:p>
                  <w:pPr>
                    <w:shd w:val="clear" w:color="auto" w:fill="C7DAF1" w:themeFill="text2" w:themeFillTint="32"/>
                    <w:rPr>
                      <w:rFonts w:hint="eastAsia" w:eastAsia="宋体"/>
                      <w:sz w:val="18"/>
                      <w:szCs w:val="21"/>
                      <w:lang w:val="en-US" w:eastAsia="zh-CN"/>
                    </w:rPr>
                  </w:pPr>
                  <w:r>
                    <w:rPr>
                      <w:rFonts w:hint="eastAsia"/>
                      <w:sz w:val="18"/>
                      <w:szCs w:val="21"/>
                      <w:lang w:val="en-US" w:eastAsia="zh-CN"/>
                    </w:rPr>
                    <w:t>品控部</w:t>
                  </w:r>
                </w:p>
              </w:tc>
              <w:tc>
                <w:tcPr>
                  <w:tcW w:w="1774" w:type="dxa"/>
                  <w:shd w:val="clear" w:color="auto" w:fill="auto"/>
                  <w:vAlign w:val="center"/>
                </w:tcPr>
                <w:p>
                  <w:pPr>
                    <w:shd w:val="clear" w:color="auto" w:fill="C7DAF1" w:themeFill="text2" w:themeFillTint="32"/>
                    <w:jc w:val="center"/>
                    <w:rPr>
                      <w:rFonts w:hint="eastAsia" w:ascii="宋体" w:hAnsi="宋体" w:eastAsia="宋体"/>
                      <w:sz w:val="18"/>
                      <w:szCs w:val="21"/>
                      <w:lang w:val="en-US" w:eastAsia="zh-CN"/>
                    </w:rPr>
                  </w:pPr>
                  <w:r>
                    <w:rPr>
                      <w:rFonts w:hint="eastAsia" w:ascii="宋体" w:hAnsi="宋体"/>
                      <w:sz w:val="18"/>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shd w:val="clear" w:color="auto" w:fill="auto"/>
                  <w:vAlign w:val="top"/>
                </w:tcPr>
                <w:p>
                  <w:pPr>
                    <w:tabs>
                      <w:tab w:val="left" w:pos="5824"/>
                    </w:tabs>
                    <w:spacing w:line="360" w:lineRule="auto"/>
                    <w:rPr>
                      <w:rFonts w:hint="default" w:ascii="Times New Roman" w:hAnsi="Times New Roman" w:eastAsia="宋体" w:cs="Times New Roman"/>
                      <w:kern w:val="2"/>
                      <w:sz w:val="18"/>
                      <w:szCs w:val="21"/>
                      <w:lang w:val="en-US" w:eastAsia="zh-CN" w:bidi="ar-SA"/>
                    </w:rPr>
                  </w:pPr>
                  <w:r>
                    <w:rPr>
                      <w:rFonts w:hint="eastAsia"/>
                      <w:sz w:val="18"/>
                      <w:szCs w:val="21"/>
                    </w:rPr>
                    <w:t>顾客满意度达到</w:t>
                  </w:r>
                  <w:r>
                    <w:rPr>
                      <w:rFonts w:hint="eastAsia"/>
                      <w:sz w:val="18"/>
                      <w:szCs w:val="21"/>
                      <w:lang w:val="en-US" w:eastAsia="zh-CN"/>
                    </w:rPr>
                    <w:t>90分以上</w:t>
                  </w:r>
                </w:p>
              </w:tc>
              <w:tc>
                <w:tcPr>
                  <w:tcW w:w="2987" w:type="dxa"/>
                  <w:shd w:val="clear" w:color="auto" w:fill="auto"/>
                  <w:vAlign w:val="top"/>
                </w:tcPr>
                <w:p>
                  <w:pPr>
                    <w:widowControl/>
                    <w:spacing w:before="40"/>
                    <w:jc w:val="left"/>
                    <w:rPr>
                      <w:rFonts w:ascii="Times New Roman" w:hAnsi="Times New Roman" w:eastAsia="宋体" w:cs="Times New Roman"/>
                      <w:color w:val="000000"/>
                      <w:kern w:val="2"/>
                      <w:sz w:val="18"/>
                      <w:szCs w:val="15"/>
                      <w:highlight w:val="cyan"/>
                      <w:lang w:val="en-US" w:eastAsia="zh-CN" w:bidi="ar-SA"/>
                    </w:rPr>
                  </w:pPr>
                  <w:r>
                    <w:rPr>
                      <w:rFonts w:hint="eastAsia" w:ascii="Times New Roman" w:hAnsi="Times New Roman" w:eastAsia="宋体" w:cs="Times New Roman"/>
                      <w:color w:val="000000"/>
                      <w:sz w:val="18"/>
                      <w:szCs w:val="15"/>
                      <w:highlight w:val="none"/>
                      <w:lang w:val="en-US" w:eastAsia="zh-CN"/>
                    </w:rPr>
                    <w:t>顾客满意度调查总分/调查顾客数</w:t>
                  </w:r>
                </w:p>
              </w:tc>
              <w:tc>
                <w:tcPr>
                  <w:tcW w:w="1299" w:type="dxa"/>
                  <w:shd w:val="clear" w:color="auto" w:fill="auto"/>
                  <w:vAlign w:val="center"/>
                </w:tcPr>
                <w:p>
                  <w:pPr>
                    <w:shd w:val="clear" w:color="auto" w:fill="C7DAF1" w:themeFill="text2" w:themeFillTint="32"/>
                    <w:rPr>
                      <w:rFonts w:hint="eastAsia" w:ascii="宋体" w:hAnsi="宋体" w:eastAsia="宋体"/>
                      <w:sz w:val="18"/>
                      <w:szCs w:val="21"/>
                      <w:lang w:val="en-US" w:eastAsia="zh-CN"/>
                    </w:rPr>
                  </w:pPr>
                  <w:r>
                    <w:rPr>
                      <w:rFonts w:hint="eastAsia" w:ascii="宋体" w:hAnsi="宋体"/>
                      <w:sz w:val="18"/>
                      <w:szCs w:val="21"/>
                      <w:lang w:val="en-US" w:eastAsia="zh-CN"/>
                    </w:rPr>
                    <w:t>市场部</w:t>
                  </w:r>
                </w:p>
              </w:tc>
              <w:tc>
                <w:tcPr>
                  <w:tcW w:w="1774" w:type="dxa"/>
                  <w:shd w:val="clear" w:color="auto" w:fill="auto"/>
                  <w:vAlign w:val="center"/>
                </w:tcPr>
                <w:p>
                  <w:pPr>
                    <w:shd w:val="clear" w:color="auto" w:fill="C7DAF1" w:themeFill="text2" w:themeFillTint="32"/>
                    <w:jc w:val="center"/>
                    <w:rPr>
                      <w:rFonts w:hint="eastAsia" w:ascii="宋体" w:hAnsi="宋体" w:eastAsia="宋体"/>
                      <w:sz w:val="18"/>
                      <w:szCs w:val="21"/>
                      <w:lang w:val="en-US" w:eastAsia="zh-CN"/>
                    </w:rPr>
                  </w:pPr>
                  <w:r>
                    <w:rPr>
                      <w:rFonts w:hint="eastAsia" w:ascii="宋体" w:hAnsi="宋体"/>
                      <w:sz w:val="18"/>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shd w:val="clear" w:color="auto" w:fill="auto"/>
                </w:tcPr>
                <w:p>
                  <w:pPr>
                    <w:shd w:val="clear" w:color="auto" w:fill="C7DAF1" w:themeFill="text2" w:themeFillTint="32"/>
                  </w:pPr>
                </w:p>
              </w:tc>
              <w:tc>
                <w:tcPr>
                  <w:tcW w:w="2987" w:type="dxa"/>
                  <w:shd w:val="clear" w:color="auto" w:fill="auto"/>
                  <w:vAlign w:val="center"/>
                </w:tcPr>
                <w:p>
                  <w:pPr>
                    <w:shd w:val="clear" w:color="auto" w:fill="C7DAF1" w:themeFill="text2" w:themeFillTint="32"/>
                    <w:rPr>
                      <w:rFonts w:ascii="宋体" w:hAnsi="宋体"/>
                    </w:rPr>
                  </w:pPr>
                </w:p>
              </w:tc>
              <w:tc>
                <w:tcPr>
                  <w:tcW w:w="1299"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shd w:val="clear" w:color="auto" w:fill="auto"/>
                </w:tcPr>
                <w:p>
                  <w:pPr>
                    <w:shd w:val="clear" w:color="auto" w:fill="C7DAF1" w:themeFill="text2" w:themeFillTint="32"/>
                  </w:pPr>
                </w:p>
              </w:tc>
              <w:tc>
                <w:tcPr>
                  <w:tcW w:w="2987" w:type="dxa"/>
                  <w:shd w:val="clear" w:color="auto" w:fill="auto"/>
                  <w:vAlign w:val="center"/>
                </w:tcPr>
                <w:p>
                  <w:pPr>
                    <w:shd w:val="clear" w:color="auto" w:fill="C7DAF1" w:themeFill="text2" w:themeFillTint="32"/>
                    <w:rPr>
                      <w:rFonts w:ascii="宋体" w:hAnsi="宋体"/>
                    </w:rPr>
                  </w:pPr>
                </w:p>
              </w:tc>
              <w:tc>
                <w:tcPr>
                  <w:tcW w:w="1299"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shd w:val="clear" w:color="auto" w:fill="auto"/>
                </w:tcPr>
                <w:p>
                  <w:pPr>
                    <w:shd w:val="clear" w:color="auto" w:fill="C7DAF1" w:themeFill="text2" w:themeFillTint="32"/>
                  </w:pPr>
                </w:p>
              </w:tc>
              <w:tc>
                <w:tcPr>
                  <w:tcW w:w="2987" w:type="dxa"/>
                  <w:shd w:val="clear" w:color="auto" w:fill="auto"/>
                  <w:vAlign w:val="center"/>
                </w:tcPr>
                <w:p>
                  <w:pPr>
                    <w:shd w:val="clear" w:color="auto" w:fill="C7DAF1" w:themeFill="text2" w:themeFillTint="32"/>
                    <w:rPr>
                      <w:rFonts w:ascii="宋体" w:hAnsi="宋体"/>
                    </w:rPr>
                  </w:pPr>
                </w:p>
              </w:tc>
              <w:tc>
                <w:tcPr>
                  <w:tcW w:w="1299"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800</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个；实验室个；</w:t>
            </w:r>
          </w:p>
          <w:p>
            <w:pPr>
              <w:shd w:val="clear" w:color="auto" w:fill="C7DAF1" w:themeFill="text2" w:themeFillTint="32"/>
              <w:rPr>
                <w:u w:val="single"/>
              </w:rPr>
            </w:pPr>
            <w:r>
              <w:rPr>
                <w:rFonts w:hint="eastAsia"/>
              </w:rPr>
              <w:t>主要生产设备有：</w:t>
            </w:r>
            <w:r>
              <w:rPr>
                <w:rFonts w:hint="eastAsia"/>
                <w:lang w:val="en-US" w:eastAsia="zh-CN"/>
              </w:rPr>
              <w:t>钉扣机、平缝机、人字缝机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宋体" w:hAnsi="宋体" w:eastAsia="宋体" w:cs="宋体"/>
              </w:rPr>
              <w:t>■</w:t>
            </w:r>
            <w:r>
              <w:rPr>
                <w:rFonts w:hint="eastAsia"/>
              </w:rPr>
              <w:t>自校</w:t>
            </w:r>
            <w:r>
              <w:rPr>
                <w:rFonts w:hint="eastAsia" w:ascii="宋体" w:hAnsi="宋体" w:eastAsia="宋体" w:cs="宋体"/>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卷尺、丁字尺</w:t>
            </w:r>
            <w:r>
              <w:rPr>
                <w:rFonts w:hint="eastAsia"/>
                <w:u w:val="single"/>
              </w:rPr>
              <w:t>（列举1~4种）</w:t>
            </w:r>
          </w:p>
          <w:p>
            <w:pPr>
              <w:shd w:val="clear" w:color="auto" w:fill="C7DAF1" w:themeFill="text2" w:themeFillTint="32"/>
              <w:rPr>
                <w:rFonts w:hint="eastAsia" w:eastAsia="宋体"/>
                <w:u w:val="single"/>
                <w:lang w:val="en-US" w:eastAsia="zh-CN"/>
              </w:rPr>
            </w:pPr>
            <w:r>
              <w:rPr>
                <w:rFonts w:hint="eastAsia"/>
              </w:rPr>
              <w:t>计量器具管理：</w:t>
            </w:r>
            <w:r>
              <w:rPr>
                <w:rFonts w:hint="eastAsia" w:ascii="Wingdings" w:hAnsi="Wingdings"/>
              </w:rPr>
              <w:t>¨</w:t>
            </w:r>
            <w:r>
              <w:rPr>
                <w:rFonts w:hint="eastAsia"/>
              </w:rPr>
              <w:t>进行了定期校准/检定</w:t>
            </w:r>
            <w:r>
              <w:rPr>
                <w:rFonts w:hint="eastAsia" w:ascii="宋体" w:hAnsi="宋体" w:eastAsia="宋体" w:cs="宋体"/>
              </w:rPr>
              <w:t>■</w:t>
            </w:r>
            <w:r>
              <w:rPr>
                <w:rFonts w:hint="eastAsia"/>
              </w:rPr>
              <w:t>未进行定期校准/检定的有：</w:t>
            </w:r>
            <w:r>
              <w:rPr>
                <w:rFonts w:hint="eastAsia"/>
                <w:lang w:val="en-US" w:eastAsia="zh-CN"/>
              </w:rPr>
              <w:t>丁字尺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sym w:font="Wingdings 2" w:char="00A3"/>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sym w:font="Wingdings 2" w:char="00A3"/>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宋体" w:hAnsi="宋体" w:eastAsia="宋体" w:cs="宋体"/>
              </w:rPr>
              <w:t>■</w:t>
            </w:r>
            <w:r>
              <w:rPr>
                <w:rFonts w:hint="eastAsia"/>
              </w:rPr>
              <w:t>会议传达</w:t>
            </w:r>
            <w:r>
              <w:rPr>
                <w:rFonts w:hint="eastAsia" w:ascii="Wingdings" w:hAnsi="Wingdings"/>
              </w:rPr>
              <w:t>¨</w:t>
            </w:r>
            <w:r>
              <w:rPr>
                <w:rFonts w:hint="eastAsia"/>
              </w:rPr>
              <w:t>标语</w:t>
            </w:r>
            <w:r>
              <w:rPr>
                <w:rFonts w:hint="eastAsia" w:ascii="宋体" w:hAnsi="宋体" w:eastAsia="宋体" w:cs="宋体"/>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rPr>
              <w:t>¨</w:t>
            </w:r>
            <w:r>
              <w:rPr>
                <w:rFonts w:hint="eastAsia"/>
              </w:rPr>
              <w:t>网站</w:t>
            </w:r>
            <w:r>
              <w:rPr>
                <w:rFonts w:hint="eastAsia" w:ascii="Wingdings" w:hAnsi="Wingdings"/>
                <w:lang w:eastAsia="zh-CN"/>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宋体" w:hAnsi="宋体" w:eastAsia="宋体" w:cs="宋体"/>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服饰生产加工</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粘合过程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温度、压力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宋体" w:hAnsi="宋体" w:eastAsia="宋体" w:cs="宋体"/>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宋体" w:hAnsi="宋体" w:eastAsia="宋体" w:cs="宋体"/>
              </w:rPr>
              <w:t>■</w:t>
            </w:r>
            <w:r>
              <w:rPr>
                <w:rFonts w:hint="eastAsia"/>
              </w:rPr>
              <w:t>标牌</w:t>
            </w:r>
            <w:r>
              <w:rPr>
                <w:rFonts w:hint="eastAsia" w:ascii="宋体" w:hAnsi="宋体" w:eastAsia="宋体" w:cs="宋体"/>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宋体" w:hAnsi="宋体" w:eastAsia="宋体" w:cs="宋体"/>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宋体" w:hAnsi="宋体" w:eastAsia="宋体" w:cs="宋体"/>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13</w:t>
            </w:r>
            <w:r>
              <w:rPr>
                <w:rFonts w:hint="eastAsia"/>
              </w:rPr>
              <w:t>日</w:t>
            </w:r>
            <w:r>
              <w:rPr>
                <w:rFonts w:hint="eastAsia"/>
                <w:lang w:val="en-US" w:eastAsia="zh-CN"/>
              </w:rPr>
              <w:t>-14日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政治 □监管  □财务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采购□人力资源□营销和市场</w:t>
            </w:r>
            <w:r>
              <w:rPr>
                <w:rFonts w:hint="eastAsia"/>
              </w:rPr>
              <w:sym w:font="Wingdings 2" w:char="0052"/>
            </w:r>
            <w:r>
              <w:rPr>
                <w:rFonts w:hint="eastAsia"/>
              </w:rPr>
              <w:t>生产□检验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w:t>
            </w:r>
            <w:r>
              <w:rPr>
                <w:rFonts w:hint="eastAsia"/>
              </w:rPr>
              <w:sym w:font="Wingdings 2" w:char="0052"/>
            </w:r>
            <w:r>
              <w:rPr>
                <w:rFonts w:hint="eastAsia"/>
              </w:rPr>
              <w:t>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以人为本、以客为尊、为职求存、追求高效、服务大效；节能降耗、改善环境、美化家园、造福人类、持续改进；关爱健康、控制风险、保障安全、珍爱生命、幸福生活。</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w:t>
            </w:r>
            <w:r>
              <w:rPr>
                <w:rFonts w:hint="eastAsia"/>
              </w:rPr>
              <w:sym w:font="Wingdings 2" w:char="0052"/>
            </w:r>
            <w:r>
              <w:rPr>
                <w:rFonts w:hint="eastAsia"/>
              </w:rPr>
              <w:t>资源消耗□废水排放□废气排放□粉尘排放□危废排放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固体废弃物有效处置率100%</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宋体" w:hAnsi="宋体"/>
                      <w:lang w:val="en-US" w:eastAsia="zh-CN"/>
                    </w:rPr>
                    <w:t>分类收集，集中处理，回收利用</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火灾事故为零</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800</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个；实验室个；</w:t>
            </w:r>
          </w:p>
          <w:p>
            <w:pPr>
              <w:shd w:val="clear" w:color="auto" w:fill="EBF1DE" w:themeFill="accent3" w:themeFillTint="32"/>
              <w:rPr>
                <w:u w:val="single"/>
              </w:rPr>
            </w:pPr>
            <w:r>
              <w:rPr>
                <w:rFonts w:hint="eastAsia"/>
              </w:rPr>
              <w:t>主要生产设备有：</w:t>
            </w:r>
            <w:r>
              <w:rPr>
                <w:rFonts w:hint="eastAsia"/>
                <w:lang w:val="en-US" w:eastAsia="zh-CN"/>
              </w:rPr>
              <w:t>钉扣机、平缝机、人字缝机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宋体" w:hAnsi="宋体" w:eastAsia="宋体" w:cs="宋体"/>
              </w:rPr>
              <w:t>■</w:t>
            </w:r>
            <w:r>
              <w:rPr>
                <w:rFonts w:hint="eastAsia"/>
              </w:rPr>
              <w:t>自校</w:t>
            </w:r>
            <w:r>
              <w:rPr>
                <w:rFonts w:hint="eastAsia" w:ascii="宋体" w:hAnsi="宋体" w:eastAsia="宋体" w:cs="宋体"/>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lang w:val="en-US" w:eastAsia="zh-CN"/>
              </w:rPr>
              <w:t>卷尺、丁字尺</w:t>
            </w:r>
            <w:r>
              <w:rPr>
                <w:rFonts w:hint="eastAsia"/>
                <w:u w:val="single"/>
              </w:rPr>
              <w:t>（列举1~4种）</w:t>
            </w:r>
          </w:p>
          <w:p>
            <w:pPr>
              <w:shd w:val="clear" w:color="auto" w:fill="EBF1DE" w:themeFill="accent3" w:themeFillTint="32"/>
              <w:rPr>
                <w:rFonts w:hint="eastAsia" w:eastAsia="宋体"/>
                <w:u w:val="single"/>
                <w:lang w:val="en-US" w:eastAsia="zh-CN"/>
              </w:rPr>
            </w:pPr>
            <w:r>
              <w:rPr>
                <w:rFonts w:hint="eastAsia"/>
              </w:rPr>
              <w:t>计量器具管理：</w:t>
            </w:r>
            <w:r>
              <w:rPr>
                <w:rFonts w:hint="eastAsia" w:ascii="Wingdings" w:hAnsi="Wingdings"/>
              </w:rPr>
              <w:t>¨</w:t>
            </w:r>
            <w:r>
              <w:rPr>
                <w:rFonts w:hint="eastAsia"/>
              </w:rPr>
              <w:t>进行了定期校准/检定</w:t>
            </w:r>
            <w:r>
              <w:rPr>
                <w:rFonts w:hint="eastAsia" w:ascii="宋体" w:hAnsi="宋体" w:eastAsia="宋体" w:cs="宋体"/>
              </w:rPr>
              <w:t>■</w:t>
            </w:r>
            <w:r>
              <w:rPr>
                <w:rFonts w:hint="eastAsia"/>
              </w:rPr>
              <w:t>未进行定期校准/检定的有：</w:t>
            </w:r>
            <w:r>
              <w:rPr>
                <w:rFonts w:hint="eastAsia"/>
                <w:lang w:val="en-US" w:eastAsia="zh-CN"/>
              </w:rPr>
              <w:t>丁字尺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宋体" w:hAnsi="宋体" w:eastAsia="宋体" w:cs="宋体"/>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宋体" w:hAnsi="宋体" w:eastAsia="宋体" w:cs="宋体"/>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rPr>
              <w:t>■</w:t>
            </w:r>
            <w:r>
              <w:rPr>
                <w:rFonts w:hint="eastAsia"/>
              </w:rPr>
              <w:t>合同约定</w:t>
            </w:r>
            <w:r>
              <w:rPr>
                <w:rFonts w:hint="eastAsia" w:ascii="宋体" w:hAnsi="宋体" w:eastAsia="宋体" w:cs="宋体"/>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ascii="Wingdings" w:hAnsi="Wingdings"/>
              </w:rPr>
              <w:t>¨</w:t>
            </w:r>
            <w:r>
              <w:rPr>
                <w:rFonts w:hint="eastAsia"/>
              </w:rPr>
              <w:t>进行了定期检验</w:t>
            </w:r>
            <w:r>
              <w:rPr>
                <w:rFonts w:hint="eastAsia" w:ascii="宋体" w:hAnsi="宋体" w:eastAsia="宋体" w:cs="宋体"/>
              </w:rPr>
              <w:t>■</w:t>
            </w:r>
            <w:r>
              <w:rPr>
                <w:rFonts w:hint="eastAsia"/>
              </w:rPr>
              <w:t>未进行定期检验的有：</w:t>
            </w:r>
            <w:r>
              <w:rPr>
                <w:rFonts w:hint="eastAsia"/>
                <w:lang w:val="en-US" w:eastAsia="zh-CN"/>
              </w:rPr>
              <w:t>安全阀、压力表</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宋体" w:hAnsi="宋体" w:eastAsia="宋体" w:cs="宋体"/>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16</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13-14</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检测结果不合格</w:t>
            </w:r>
            <w:r>
              <w:rPr>
                <w:rFonts w:hint="eastAsia" w:ascii="宋体" w:hAnsi="宋体" w:eastAsia="宋体" w:cs="宋体"/>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52"/>
            </w:r>
            <w:r>
              <w:rPr>
                <w:rFonts w:hint="eastAsia"/>
              </w:rPr>
              <w:t>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以人为本、以客为尊、为职求存、追求高效、服务大效；节能降耗、改善环境、美化家园、造福人类、持续改进；关爱健康、控制风险、保障安全、珍爱生命、幸福生活。</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员工代表是——马菊英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作业过程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机械伤害□触电□化学伤害□噪声□粉尘□危险作业</w:t>
            </w:r>
            <w:r>
              <w:rPr>
                <w:rFonts w:hint="eastAsia"/>
              </w:rPr>
              <w:sym w:font="Wingdings 2" w:char="0052"/>
            </w:r>
            <w:r>
              <w:rPr>
                <w:rFonts w:hint="eastAsia"/>
              </w:rPr>
              <w:t>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tabs>
                      <w:tab w:val="left" w:pos="5824"/>
                    </w:tabs>
                    <w:spacing w:line="360" w:lineRule="auto"/>
                    <w:rPr>
                      <w:rFonts w:hint="eastAsia" w:ascii="Times New Roman" w:hAnsi="Times New Roman" w:eastAsia="宋体" w:cs="Times New Roman"/>
                      <w:kern w:val="2"/>
                      <w:sz w:val="21"/>
                      <w:szCs w:val="24"/>
                      <w:lang w:val="en-US" w:eastAsia="zh-CN" w:bidi="ar-SA"/>
                    </w:rPr>
                  </w:pPr>
                  <w:r>
                    <w:rPr>
                      <w:rFonts w:hint="eastAsia"/>
                    </w:rPr>
                    <w:t>火灾事故</w:t>
                  </w:r>
                </w:p>
              </w:tc>
              <w:tc>
                <w:tcPr>
                  <w:tcW w:w="3136" w:type="dxa"/>
                  <w:shd w:val="clear" w:color="auto" w:fill="auto"/>
                  <w:vAlign w:val="center"/>
                </w:tcPr>
                <w:p>
                  <w:pPr>
                    <w:rPr>
                      <w:rFonts w:hint="default" w:ascii="宋体" w:hAnsi="宋体" w:eastAsia="宋体" w:cs="Times New Roman"/>
                      <w:kern w:val="2"/>
                      <w:sz w:val="21"/>
                      <w:szCs w:val="24"/>
                      <w:lang w:val="en-GB" w:eastAsia="zh-CN" w:bidi="ar-SA"/>
                    </w:rPr>
                  </w:pPr>
                  <w:r>
                    <w:rPr>
                      <w:rFonts w:hint="eastAsia" w:ascii="宋体" w:hAnsi="宋体"/>
                      <w:lang w:val="en-US" w:eastAsia="zh-CN"/>
                    </w:rPr>
                    <w:t>火灾应急演练，消防培训</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tabs>
                      <w:tab w:val="left" w:pos="5824"/>
                    </w:tabs>
                    <w:spacing w:line="360" w:lineRule="auto"/>
                    <w:rPr>
                      <w:rFonts w:hint="eastAsia" w:ascii="Times New Roman" w:hAnsi="Times New Roman" w:eastAsia="宋体" w:cs="Times New Roman"/>
                      <w:kern w:val="2"/>
                      <w:sz w:val="21"/>
                      <w:szCs w:val="24"/>
                      <w:lang w:val="en-US" w:eastAsia="zh-CN" w:bidi="ar-SA"/>
                    </w:rPr>
                  </w:pPr>
                  <w:r>
                    <w:rPr>
                      <w:rFonts w:hint="eastAsia"/>
                    </w:rPr>
                    <w:t>重大伤亡事故</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US" w:eastAsia="zh-CN"/>
                    </w:rPr>
                    <w:t>佩戴劳保用品，安全防护、做好培训，制定制度</w:t>
                  </w: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eastAsia="宋体" w:cs="宋体"/>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800</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个；实验室个；</w:t>
            </w:r>
          </w:p>
          <w:p>
            <w:pPr>
              <w:rPr>
                <w:u w:val="single"/>
              </w:rPr>
            </w:pPr>
            <w:r>
              <w:rPr>
                <w:rFonts w:hint="eastAsia"/>
              </w:rPr>
              <w:t>主要生产设备有：</w:t>
            </w:r>
            <w:r>
              <w:rPr>
                <w:rFonts w:hint="eastAsia"/>
                <w:color w:val="000000"/>
                <w:szCs w:val="21"/>
                <w:lang w:val="en-US" w:eastAsia="zh-CN"/>
              </w:rPr>
              <w:t>钉扣机、平缝机、人字缝机</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宋体" w:hAnsi="宋体" w:eastAsia="宋体" w:cs="宋体"/>
              </w:rPr>
              <w:t>■</w:t>
            </w:r>
            <w:r>
              <w:rPr>
                <w:rFonts w:hint="eastAsia"/>
              </w:rPr>
              <w:t>自校</w:t>
            </w:r>
            <w:r>
              <w:rPr>
                <w:rFonts w:hint="eastAsia" w:ascii="宋体" w:hAnsi="宋体" w:eastAsia="宋体" w:cs="宋体"/>
              </w:rPr>
              <w:t>■</w:t>
            </w:r>
            <w:r>
              <w:rPr>
                <w:rFonts w:hint="eastAsia"/>
              </w:rPr>
              <w:t>外校</w:t>
            </w:r>
          </w:p>
          <w:p>
            <w:r>
              <w:rPr>
                <w:rFonts w:hint="eastAsia"/>
              </w:rPr>
              <w:t>职业健康安全监测的计量器具有：</w:t>
            </w:r>
          </w:p>
          <w:p>
            <w:r>
              <w:rPr>
                <w:rFonts w:hint="eastAsia" w:ascii="宋体" w:hAnsi="宋体" w:eastAsia="宋体" w:cs="宋体"/>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ascii="Wingdings" w:hAnsi="Wingdings"/>
              </w:rPr>
              <w:t>¨</w:t>
            </w:r>
            <w:r>
              <w:rPr>
                <w:rFonts w:hint="eastAsia"/>
              </w:rPr>
              <w:t>进行了定期校准/检定</w:t>
            </w:r>
            <w:r>
              <w:rPr>
                <w:rFonts w:hint="eastAsia" w:ascii="宋体" w:hAnsi="宋体" w:eastAsia="宋体" w:cs="宋体"/>
              </w:rPr>
              <w:t>■</w:t>
            </w:r>
            <w:r>
              <w:rPr>
                <w:rFonts w:hint="eastAsia"/>
              </w:rPr>
              <w:t>未进行定期校准/检定的有：</w:t>
            </w:r>
            <w:r>
              <w:rPr>
                <w:rFonts w:hint="eastAsia"/>
                <w:lang w:val="en-US" w:eastAsia="zh-CN"/>
              </w:rPr>
              <w:t>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宋体" w:hAnsi="宋体" w:eastAsia="宋体" w:cs="宋体"/>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pPr>
              <w:rPr>
                <w:rFonts w:ascii="Times New Roman" w:hAnsi="Times New Roman" w:eastAsia="宋体" w:cs="Times New Roman"/>
                <w:kern w:val="2"/>
                <w:sz w:val="21"/>
                <w:szCs w:val="24"/>
                <w:lang w:val="en-US" w:eastAsia="zh-CN" w:bidi="ar-SA"/>
              </w:rPr>
            </w:pPr>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pPr>
              <w:rPr>
                <w:rFonts w:ascii="Times New Roman" w:hAnsi="Times New Roman" w:eastAsia="宋体" w:cs="Times New Roman"/>
                <w:kern w:val="2"/>
                <w:sz w:val="21"/>
                <w:szCs w:val="24"/>
                <w:lang w:val="en-US" w:eastAsia="zh-CN" w:bidi="ar-SA"/>
              </w:rPr>
            </w:pPr>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宋体" w:hAnsi="宋体" w:eastAsia="宋体" w:cs="宋体"/>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宋体" w:hAnsi="宋体" w:eastAsia="宋体" w:cs="宋体"/>
              </w:rPr>
              <w:t>■</w:t>
            </w:r>
            <w:r>
              <w:rPr>
                <w:rFonts w:hint="eastAsia"/>
              </w:rPr>
              <w:t>合同约定</w:t>
            </w:r>
            <w:r>
              <w:rPr>
                <w:rFonts w:hint="eastAsia" w:ascii="宋体" w:hAnsi="宋体" w:eastAsia="宋体" w:cs="宋体"/>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A3"/>
                  </w:r>
                  <w:r>
                    <w:rPr>
                      <w:rFonts w:hint="eastAsia"/>
                    </w:rPr>
                    <w:t>减少作业时间</w:t>
                  </w:r>
                  <w:r>
                    <w:rPr>
                      <w:rFonts w:hint="eastAsia"/>
                    </w:rPr>
                    <w:sym w:font="Wingdings 2" w:char="0052"/>
                  </w:r>
                  <w:r>
                    <w:rPr>
                      <w:rFonts w:hint="eastAsia"/>
                    </w:rPr>
                    <w:t>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消防演练</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default" w:eastAsia="宋体"/>
                <w:u w:val="single"/>
                <w:lang w:val="en-US" w:eastAsia="zh-CN"/>
              </w:rPr>
            </w:pPr>
            <w:r>
              <w:rPr>
                <w:rFonts w:hint="eastAsia"/>
              </w:rPr>
              <w:t>安全装置检查：</w:t>
            </w:r>
            <w:r>
              <w:rPr>
                <w:rFonts w:hint="eastAsia" w:ascii="Wingdings" w:hAnsi="Wingdings"/>
              </w:rPr>
              <w:t>¨</w:t>
            </w:r>
            <w:r>
              <w:rPr>
                <w:rFonts w:hint="eastAsia"/>
              </w:rPr>
              <w:t>进行了定期检查</w:t>
            </w:r>
            <w:r>
              <w:rPr>
                <w:rFonts w:hint="eastAsia" w:ascii="宋体" w:hAnsi="宋体" w:eastAsia="宋体" w:cs="宋体"/>
              </w:rPr>
              <w:t>■</w:t>
            </w:r>
            <w:r>
              <w:rPr>
                <w:rFonts w:hint="eastAsia"/>
              </w:rPr>
              <w:t>未进行定期检查的有：</w:t>
            </w:r>
            <w:r>
              <w:rPr>
                <w:rFonts w:hint="eastAsia"/>
                <w:lang w:val="en-US" w:eastAsia="zh-CN"/>
              </w:rPr>
              <w:t>安全阀、压力表</w:t>
            </w:r>
            <w:bookmarkStart w:id="34" w:name="_GoBack"/>
            <w:bookmarkEnd w:id="34"/>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宋体" w:hAnsi="宋体" w:eastAsia="宋体" w:cs="宋体"/>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宋体" w:hAnsi="宋体" w:eastAsia="宋体" w:cs="宋体"/>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宋体" w:hAnsi="宋体" w:eastAsia="宋体" w:cs="宋体"/>
              </w:rPr>
              <w:t>■</w:t>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16</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宋体" w:hAnsi="宋体" w:eastAsia="宋体" w:cs="宋体"/>
              </w:rPr>
              <w:t>■</w:t>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13-14</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宋体" w:hAnsi="宋体" w:eastAsia="宋体" w:cs="宋体"/>
              </w:rPr>
              <w:t>■</w:t>
            </w:r>
            <w:r>
              <w:rPr>
                <w:rFonts w:hint="eastAsia"/>
              </w:rPr>
              <w:t>相关的工作人员</w:t>
            </w:r>
            <w:r>
              <w:rPr>
                <w:rFonts w:hint="eastAsia" w:ascii="宋体" w:hAnsi="宋体" w:eastAsia="宋体" w:cs="宋体"/>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宋体" w:hAnsi="宋体" w:eastAsia="宋体" w:cs="宋体"/>
              </w:rPr>
              <w:t>■</w:t>
            </w:r>
            <w:r>
              <w:rPr>
                <w:rFonts w:hint="eastAsia"/>
              </w:rPr>
              <w:t>相关的工作人员</w:t>
            </w:r>
            <w:r>
              <w:rPr>
                <w:rFonts w:hint="eastAsia" w:ascii="宋体" w:hAnsi="宋体" w:eastAsia="宋体" w:cs="宋体"/>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eastAsia="宋体"/>
                <w:lang w:val="en-US" w:eastAsia="zh-CN"/>
              </w:rPr>
              <w:t>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r>
        <w:rPr>
          <w:rFonts w:hint="eastAsia" w:eastAsia="微软雅黑"/>
          <w:sz w:val="20"/>
          <w:szCs w:val="20"/>
          <w:lang w:eastAsia="zh-CN"/>
        </w:rPr>
        <w:drawing>
          <wp:inline distT="0" distB="0" distL="114300" distR="114300">
            <wp:extent cx="6187440" cy="8757285"/>
            <wp:effectExtent l="0" t="0" r="0" b="5715"/>
            <wp:docPr id="1" name="图片 1" descr="琳尔二阶段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琳尔二阶段_07"/>
                    <pic:cNvPicPr>
                      <a:picLocks noChangeAspect="1"/>
                    </pic:cNvPicPr>
                  </pic:nvPicPr>
                  <pic:blipFill>
                    <a:blip r:embed="rId6"/>
                    <a:stretch>
                      <a:fillRect/>
                    </a:stretch>
                  </pic:blipFill>
                  <pic:spPr>
                    <a:xfrm>
                      <a:off x="0" y="0"/>
                      <a:ext cx="6187440" cy="8757285"/>
                    </a:xfrm>
                    <a:prstGeom prst="rect">
                      <a:avLst/>
                    </a:prstGeom>
                  </pic:spPr>
                </pic:pic>
              </a:graphicData>
            </a:graphic>
          </wp:inline>
        </w:drawing>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國龍中黑體">
    <w:altName w:val="黑体"/>
    <w:panose1 w:val="00000000000000000000"/>
    <w:charset w:val="88"/>
    <w:family w:val="modern"/>
    <w:pitch w:val="default"/>
    <w:sig w:usb0="00000000" w:usb1="00000000" w:usb2="0000003F" w:usb3="00000000" w:csb0="001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5B561F3"/>
    <w:rsid w:val="281A23A2"/>
    <w:rsid w:val="393611D9"/>
    <w:rsid w:val="5DCA5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中國龍中黑體"/>
      <w:sz w:val="24"/>
      <w:szCs w:val="20"/>
      <w:lang w:eastAsia="zh-TW"/>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18</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2021-12-23T14:09:12Z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