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四川省琳尔职业服饰有限公司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yellow"/>
              </w:rPr>
            </w:pPr>
            <w:r>
              <w:rPr>
                <w:color w:val="auto"/>
                <w:sz w:val="22"/>
                <w:szCs w:val="22"/>
                <w:highlight w:val="yellow"/>
              </w:rPr>
              <w:t>余家龙</w:t>
            </w:r>
          </w:p>
        </w:tc>
        <w:tc>
          <w:tcPr>
            <w:tcW w:w="1184" w:type="dxa"/>
            <w:vAlign w:val="center"/>
          </w:tcPr>
          <w:p>
            <w:pPr>
              <w:snapToGrid w:val="0"/>
              <w:spacing w:line="320" w:lineRule="exact"/>
              <w:ind w:left="572"/>
              <w:rPr>
                <w:color w:val="auto"/>
                <w:sz w:val="22"/>
                <w:szCs w:val="22"/>
                <w:highlight w:val="yellow"/>
              </w:rPr>
            </w:pPr>
            <w:r>
              <w:rPr>
                <w:color w:val="auto"/>
                <w:sz w:val="22"/>
                <w:szCs w:val="22"/>
                <w:highlight w:val="yellow"/>
              </w:rPr>
              <w:t>组长</w:t>
            </w:r>
          </w:p>
        </w:tc>
        <w:tc>
          <w:tcPr>
            <w:tcW w:w="5595" w:type="dxa"/>
            <w:gridSpan w:val="3"/>
            <w:vAlign w:val="center"/>
          </w:tcPr>
          <w:p>
            <w:pPr>
              <w:snapToGrid w:val="0"/>
              <w:spacing w:line="320" w:lineRule="exact"/>
              <w:ind w:left="1309"/>
              <w:rPr>
                <w:color w:val="auto"/>
                <w:sz w:val="22"/>
                <w:szCs w:val="22"/>
                <w:highlight w:val="yellow"/>
              </w:rPr>
            </w:pPr>
            <w:r>
              <w:rPr>
                <w:color w:val="auto"/>
                <w:sz w:val="22"/>
                <w:szCs w:val="22"/>
                <w:highlight w:val="yellow"/>
              </w:rPr>
              <w:t>2020-N1QMS-1262293</w:t>
            </w:r>
          </w:p>
          <w:p>
            <w:pPr>
              <w:snapToGrid w:val="0"/>
              <w:spacing w:line="320" w:lineRule="exact"/>
              <w:ind w:left="1309"/>
              <w:rPr>
                <w:color w:val="auto"/>
                <w:sz w:val="22"/>
                <w:szCs w:val="22"/>
                <w:highlight w:val="yellow"/>
              </w:rPr>
            </w:pPr>
            <w:r>
              <w:rPr>
                <w:color w:val="auto"/>
                <w:sz w:val="22"/>
                <w:szCs w:val="22"/>
                <w:highlight w:val="yellow"/>
              </w:rPr>
              <w:t>2020-N1EMS-1262293</w:t>
            </w:r>
          </w:p>
          <w:p>
            <w:pPr>
              <w:snapToGrid w:val="0"/>
              <w:spacing w:line="320" w:lineRule="exact"/>
              <w:ind w:left="1309"/>
              <w:rPr>
                <w:color w:val="auto"/>
                <w:sz w:val="22"/>
                <w:szCs w:val="22"/>
                <w:highlight w:val="yellow"/>
              </w:rPr>
            </w:pPr>
            <w:r>
              <w:rPr>
                <w:color w:val="auto"/>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yellow"/>
              </w:rPr>
            </w:pPr>
            <w:r>
              <w:rPr>
                <w:color w:val="auto"/>
                <w:sz w:val="22"/>
                <w:szCs w:val="22"/>
                <w:highlight w:val="yellow"/>
              </w:rPr>
              <w:t>蒋晓琳</w:t>
            </w:r>
          </w:p>
        </w:tc>
        <w:tc>
          <w:tcPr>
            <w:tcW w:w="1184" w:type="dxa"/>
            <w:vAlign w:val="center"/>
          </w:tcPr>
          <w:p>
            <w:pPr>
              <w:snapToGrid w:val="0"/>
              <w:spacing w:line="320" w:lineRule="exact"/>
              <w:ind w:left="572"/>
              <w:rPr>
                <w:color w:val="auto"/>
                <w:sz w:val="22"/>
                <w:szCs w:val="22"/>
                <w:highlight w:val="yellow"/>
              </w:rPr>
            </w:pPr>
            <w:r>
              <w:rPr>
                <w:color w:val="auto"/>
                <w:sz w:val="22"/>
                <w:szCs w:val="22"/>
                <w:highlight w:val="yellow"/>
              </w:rPr>
              <w:t>组员</w:t>
            </w:r>
          </w:p>
        </w:tc>
        <w:tc>
          <w:tcPr>
            <w:tcW w:w="5595" w:type="dxa"/>
            <w:gridSpan w:val="3"/>
            <w:vAlign w:val="center"/>
          </w:tcPr>
          <w:p>
            <w:pPr>
              <w:snapToGrid w:val="0"/>
              <w:spacing w:line="320" w:lineRule="exact"/>
              <w:ind w:left="1309"/>
              <w:rPr>
                <w:color w:val="auto"/>
                <w:sz w:val="22"/>
                <w:szCs w:val="22"/>
                <w:highlight w:val="yellow"/>
              </w:rPr>
            </w:pPr>
            <w:r>
              <w:rPr>
                <w:color w:val="auto"/>
                <w:sz w:val="22"/>
                <w:szCs w:val="22"/>
                <w:highlight w:val="yellow"/>
              </w:rPr>
              <w:t>ISC-JSZJ-435</w:t>
            </w:r>
          </w:p>
          <w:p>
            <w:pPr>
              <w:snapToGrid w:val="0"/>
              <w:spacing w:line="320" w:lineRule="exact"/>
              <w:ind w:left="1309"/>
              <w:rPr>
                <w:color w:val="auto"/>
                <w:sz w:val="22"/>
                <w:szCs w:val="22"/>
                <w:highlight w:val="yellow"/>
              </w:rPr>
            </w:pPr>
            <w:r>
              <w:rPr>
                <w:color w:val="auto"/>
                <w:sz w:val="22"/>
                <w:szCs w:val="22"/>
                <w:highlight w:val="yellow"/>
              </w:rPr>
              <w:t>ISC-JSZJ-435</w:t>
            </w:r>
          </w:p>
          <w:p>
            <w:pPr>
              <w:snapToGrid w:val="0"/>
              <w:spacing w:line="320" w:lineRule="exact"/>
              <w:ind w:left="1309"/>
              <w:rPr>
                <w:color w:val="auto"/>
                <w:sz w:val="22"/>
                <w:szCs w:val="22"/>
                <w:highlight w:val="yellow"/>
              </w:rPr>
            </w:pPr>
            <w:r>
              <w:rPr>
                <w:color w:val="auto"/>
                <w:sz w:val="22"/>
                <w:szCs w:val="22"/>
                <w:highlight w:val="yellow"/>
              </w:rPr>
              <w:t>ISC-JSZJ-435</w:t>
            </w:r>
          </w:p>
          <w:p>
            <w:pPr>
              <w:snapToGrid w:val="0"/>
              <w:spacing w:line="320" w:lineRule="exact"/>
              <w:ind w:left="1309"/>
              <w:rPr>
                <w:color w:val="auto"/>
                <w:sz w:val="22"/>
                <w:szCs w:val="22"/>
                <w:highlight w:val="yellow"/>
              </w:rPr>
            </w:pPr>
            <w:r>
              <w:rPr>
                <w:color w:val="auto"/>
                <w:sz w:val="22"/>
                <w:szCs w:val="22"/>
                <w:highlight w:val="yellow"/>
              </w:rPr>
              <w:t>四川海纳尔服饰有限公司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2021年12月15日</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eastAsia="宋体"/>
          <w:b/>
          <w:sz w:val="18"/>
          <w:szCs w:val="18"/>
          <w:lang w:eastAsia="zh-CN"/>
        </w:rPr>
      </w:pPr>
      <w:r>
        <w:rPr>
          <w:rFonts w:hint="eastAsia"/>
          <w:b/>
          <w:sz w:val="18"/>
          <w:szCs w:val="18"/>
        </w:rPr>
        <w:br w:type="page"/>
      </w:r>
      <w:bookmarkStart w:id="12" w:name="_GoBack"/>
      <w:r>
        <w:rPr>
          <w:rFonts w:hint="eastAsia" w:eastAsia="宋体"/>
          <w:b/>
          <w:sz w:val="18"/>
          <w:szCs w:val="18"/>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-8905240</wp:posOffset>
            </wp:positionV>
            <wp:extent cx="6407150" cy="9067165"/>
            <wp:effectExtent l="0" t="0" r="8890" b="635"/>
            <wp:wrapTopAndBottom/>
            <wp:docPr id="3" name="图片 3" descr="琳尔一阶段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琳尔一阶段_10"/>
                    <pic:cNvPicPr>
                      <a:picLocks noChangeAspect="1"/>
                    </pic:cNvPicPr>
                  </pic:nvPicPr>
                  <pic:blipFill>
                    <a:blip r:embed="rId6"/>
                    <a:stretch>
                      <a:fillRect/>
                    </a:stretch>
                  </pic:blipFill>
                  <pic:spPr>
                    <a:xfrm>
                      <a:off x="0" y="0"/>
                      <a:ext cx="6407150" cy="9067165"/>
                    </a:xfrm>
                    <a:prstGeom prst="rect">
                      <a:avLst/>
                    </a:prstGeom>
                  </pic:spPr>
                </pic:pic>
              </a:graphicData>
            </a:graphic>
          </wp:anchor>
        </w:drawing>
      </w:r>
      <w:bookmarkEnd w:id="12"/>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0F270E"/>
    <w:rsid w:val="72AD7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2021-12-23T13:07:38Z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