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eastAsia="宋体"/>
                <w:szCs w:val="22"/>
              </w:rPr>
              <w:t xml:space="preserve">受审核部门： </w:t>
            </w:r>
            <w:r>
              <w:rPr>
                <w:rFonts w:hint="eastAsia"/>
                <w:szCs w:val="22"/>
                <w:lang w:eastAsia="zh-CN"/>
              </w:rPr>
              <w:t xml:space="preserve">仓储部 </w:t>
            </w:r>
            <w:r>
              <w:rPr>
                <w:rFonts w:hint="eastAsia" w:eastAsia="宋体"/>
                <w:szCs w:val="22"/>
              </w:rPr>
              <w:t xml:space="preserve">       </w:t>
            </w:r>
            <w:r>
              <w:rPr>
                <w:rFonts w:hint="eastAsia" w:eastAsia="宋体"/>
                <w:szCs w:val="22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Cs w:val="22"/>
              </w:rPr>
              <w:t>主管领导：</w:t>
            </w:r>
            <w:r>
              <w:rPr>
                <w:rFonts w:hint="eastAsia"/>
                <w:szCs w:val="22"/>
                <w:lang w:val="en-US" w:eastAsia="zh-CN"/>
              </w:rPr>
              <w:t>朱宇文</w:t>
            </w:r>
            <w:r>
              <w:rPr>
                <w:rFonts w:hint="eastAsia" w:eastAsia="宋体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</w:pPr>
            <w:r>
              <w:rPr>
                <w:rFonts w:hint="eastAsia" w:eastAsia="宋体"/>
                <w:szCs w:val="22"/>
              </w:rPr>
              <w:t>审核员：</w:t>
            </w:r>
            <w:r>
              <w:rPr>
                <w:rFonts w:hint="eastAsia"/>
                <w:szCs w:val="22"/>
                <w:lang w:val="en-US" w:eastAsia="zh-CN"/>
              </w:rPr>
              <w:t>温红玲（远程）</w:t>
            </w:r>
            <w:r>
              <w:rPr>
                <w:rFonts w:hint="eastAsia" w:eastAsia="宋体"/>
                <w:szCs w:val="22"/>
              </w:rPr>
              <w:t xml:space="preserve"> 审核时间：2021年</w:t>
            </w:r>
            <w:r>
              <w:rPr>
                <w:rFonts w:hint="eastAsia"/>
                <w:szCs w:val="22"/>
                <w:lang w:val="en-US" w:eastAsia="zh-CN"/>
              </w:rPr>
              <w:t>12</w:t>
            </w:r>
            <w:r>
              <w:rPr>
                <w:rFonts w:hint="eastAsia" w:eastAsia="宋体"/>
                <w:szCs w:val="22"/>
              </w:rPr>
              <w:t>月</w:t>
            </w:r>
            <w:r>
              <w:rPr>
                <w:rFonts w:hint="eastAsia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szCs w:val="22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>组织的岗位、职责和权限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EO5</w:t>
            </w:r>
            <w:r>
              <w:rPr>
                <w:rFonts w:hint="eastAsia" w:eastAsia="宋体"/>
                <w:szCs w:val="22"/>
                <w:lang w:val="en-US" w:eastAsia="zh-CN"/>
              </w:rPr>
              <w:t xml:space="preserve">.3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部门负责人：</w:t>
            </w:r>
            <w:r>
              <w:rPr>
                <w:rFonts w:hint="eastAsia"/>
                <w:lang w:eastAsia="zh-CN"/>
              </w:rPr>
              <w:t>朱宇文</w:t>
            </w:r>
          </w:p>
          <w:p>
            <w:pPr>
              <w:spacing w:line="360" w:lineRule="auto"/>
              <w:ind w:left="0" w:leftChars="0"/>
              <w:rPr>
                <w:rFonts w:hint="eastAsia"/>
              </w:rPr>
            </w:pPr>
            <w:r>
              <w:rPr>
                <w:rFonts w:hint="eastAsia"/>
              </w:rPr>
              <w:t>a)统一各项业务流程，实行定期盘点制度，做到仓储账、物、卡证一致；</w:t>
            </w:r>
          </w:p>
          <w:p>
            <w:pPr>
              <w:spacing w:line="360" w:lineRule="auto"/>
              <w:ind w:left="0" w:leftChars="0"/>
              <w:rPr>
                <w:rFonts w:hint="eastAsia"/>
              </w:rPr>
            </w:pPr>
            <w:r>
              <w:rPr>
                <w:rFonts w:hint="eastAsia"/>
              </w:rPr>
              <w:t>b)严格按照业务流程进行操作，确保各项货物出、入库的准确性与及时性；</w:t>
            </w:r>
          </w:p>
          <w:p>
            <w:pPr>
              <w:spacing w:line="360" w:lineRule="auto"/>
              <w:ind w:left="0" w:leftChars="0"/>
              <w:rPr>
                <w:rFonts w:hint="eastAsia"/>
              </w:rPr>
            </w:pPr>
            <w:r>
              <w:rPr>
                <w:rFonts w:hint="eastAsia"/>
              </w:rPr>
              <w:t>c)负责本部门环境因素识别、危险源辨识、风险评价及控制措施的确定。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询问负责人朱宇文，</w:t>
            </w:r>
            <w:r>
              <w:rPr>
                <w:rFonts w:hint="eastAsia"/>
              </w:rPr>
              <w:t>职责明确。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环境因素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危险源识别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与评价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O6.1.2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提供了《环境因素识别、评价与更新控制程序》、《危险源辨识及其风险评价的控制措施确定程序》，对环境因素、危险源的识别、评价结果、控制手段等做出了规定。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部门负责人介绍了对环境因素、危险源进行了辨识，考虑了三种时态，过去、现在和将来，三种状态，正常、异常和紧急，按照办公区域及工作过程，另外按照区域及工作过程等进行了辨识。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查到：《重要环境因素清单》，公司涉及重要环境因素：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石灰石、碎石运输过程废气排放和</w:t>
            </w:r>
            <w:r>
              <w:rPr>
                <w:rFonts w:hint="eastAsia"/>
                <w:sz w:val="21"/>
                <w:szCs w:val="21"/>
              </w:rPr>
              <w:t>粉尘的排放、噪声排放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危废物的排放等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查到：《重大危险源清单》，公司涉及重大危险源：机械伤害、职业病、火灾爆炸、触电等，本部门涉及的不可接受风险：火灾爆炸、触电。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对于环境因素、重要环境因素及危险源、不可接受风险等通过运行控制、管理方案、应急准备与响应进行控制。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仓储部</w:t>
            </w:r>
            <w:r>
              <w:rPr>
                <w:rFonts w:hint="eastAsia"/>
                <w:sz w:val="21"/>
                <w:szCs w:val="21"/>
              </w:rPr>
              <w:t>环境因素、危险源的识别、评价基本符合标准要求。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管理目标及其实现的策划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公司对管理体系所需的相关职能、层次和过程设定管理目标。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仓储部</w:t>
            </w:r>
            <w:r>
              <w:rPr>
                <w:rFonts w:hint="eastAsia" w:ascii="宋体" w:hAnsi="宋体" w:cs="宋体"/>
                <w:sz w:val="21"/>
                <w:szCs w:val="21"/>
              </w:rPr>
              <w:t>涉及的目标及实现情况是：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火灾事故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0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轻伤事故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目标可测量，与公司管理方针一致。有实施落实的方案， 根据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2021年10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日统计结果，目标均已完成。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运行策划和控制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8.1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本部门应执行的运行控制文件包括：环境</w:t>
            </w:r>
            <w:r>
              <w:rPr>
                <w:rFonts w:hint="eastAsia"/>
                <w:lang w:val="en-US" w:eastAsia="zh-CN"/>
              </w:rPr>
              <w:t>/职业健康安全</w:t>
            </w:r>
            <w:r>
              <w:rPr>
                <w:rFonts w:hint="eastAsia"/>
              </w:rPr>
              <w:t>运行控制程序等。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查运行控制情况：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办公过程注意节约用电，</w:t>
            </w:r>
            <w:r>
              <w:rPr>
                <w:rFonts w:hint="eastAsia"/>
                <w:lang w:eastAsia="zh-CN"/>
              </w:rPr>
              <w:t>仓储部</w:t>
            </w:r>
            <w:r>
              <w:rPr>
                <w:rFonts w:hint="eastAsia"/>
              </w:rPr>
              <w:t>做到人走灯灭，电脑长时间不用时关机，下班前要关闭电源；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办公过程产生的固废按</w:t>
            </w:r>
            <w:r>
              <w:rPr>
                <w:rFonts w:hint="eastAsia"/>
                <w:lang w:eastAsia="zh-CN"/>
              </w:rPr>
              <w:t>行政部</w:t>
            </w:r>
            <w:r>
              <w:rPr>
                <w:rFonts w:hint="eastAsia"/>
              </w:rPr>
              <w:t>要求放到指定地点，现场查看无混放现象；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工作时间平均每天不超过8小时，公司为员工办理了意外伤害等保险；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远程查看</w:t>
            </w:r>
            <w:r>
              <w:rPr>
                <w:rFonts w:hint="eastAsia"/>
              </w:rPr>
              <w:t>现场</w:t>
            </w:r>
            <w:r>
              <w:rPr>
                <w:rFonts w:hint="eastAsia"/>
                <w:lang w:val="en-US" w:eastAsia="zh-CN"/>
              </w:rPr>
              <w:t>仓储</w:t>
            </w:r>
            <w:r>
              <w:rPr>
                <w:rFonts w:hint="eastAsia"/>
                <w:lang w:eastAsia="zh-CN"/>
              </w:rPr>
              <w:t>部</w:t>
            </w:r>
            <w:r>
              <w:rPr>
                <w:rFonts w:hint="eastAsia"/>
              </w:rPr>
              <w:t>配置了灭火器，无火灾、触电隐患，废弃物无混放现象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并提供有灭火器点检记录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53340</wp:posOffset>
                  </wp:positionV>
                  <wp:extent cx="1821180" cy="1364615"/>
                  <wp:effectExtent l="0" t="0" r="7620" b="6985"/>
                  <wp:wrapNone/>
                  <wp:docPr id="7" name="图片 7" descr="C:\Users\Administrator\Desktop\4江瑞冶金材料有限公司\审核当天提供资料\仓库\劳保区.jpg劳保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\Desktop\4江瑞冶金材料有限公司\审核当天提供资料\仓库\劳保区.jpg劳保区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136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1471930</wp:posOffset>
                  </wp:positionH>
                  <wp:positionV relativeFrom="paragraph">
                    <wp:posOffset>56515</wp:posOffset>
                  </wp:positionV>
                  <wp:extent cx="519430" cy="1331595"/>
                  <wp:effectExtent l="0" t="0" r="1270" b="1905"/>
                  <wp:wrapNone/>
                  <wp:docPr id="3" name="图片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133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24130</wp:posOffset>
                  </wp:positionV>
                  <wp:extent cx="1035050" cy="1381760"/>
                  <wp:effectExtent l="0" t="0" r="6350" b="2540"/>
                  <wp:wrapNone/>
                  <wp:docPr id="6" name="图片 6" descr="电器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电器区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查提供有《劳保用品收发记录》，防尘面罩2021-11-23入库100个，2021-11-25出库1个，2021-11-26出库2个，领用人签字明确。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本部门运行控制基本符合要求。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EO8.2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仓储部</w:t>
            </w:r>
            <w:r>
              <w:rPr>
                <w:rFonts w:hint="eastAsia" w:ascii="宋体" w:hAnsi="宋体" w:cs="宋体"/>
                <w:sz w:val="21"/>
                <w:szCs w:val="21"/>
              </w:rPr>
              <w:t>按照策划的《应急准备和响应措施程序》等，明确了相应的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应急准备和响应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准则。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办公</w:t>
            </w:r>
            <w:r>
              <w:rPr>
                <w:rFonts w:hint="eastAsia" w:ascii="宋体" w:hAnsi="宋体" w:cs="宋体"/>
                <w:sz w:val="21"/>
                <w:szCs w:val="21"/>
              </w:rPr>
              <w:t>过程中加强用电安全，防止触电事故和火灾事故的发生，安装了漏电保护器。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现场查看门口灭火器在有效期内。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场所有“禁止吸烟”，“小心触电” 等环保、安全警示标识。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配有急救药箱，箱内有创可贴、消毒酒精、碘伏、棉棒等。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查2021年7月17日参加了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宋体"/>
                <w:sz w:val="21"/>
                <w:szCs w:val="21"/>
              </w:rPr>
              <w:t>组织的火灾预案演练，提供了相关记录。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cs="宋体"/>
                <w:sz w:val="21"/>
                <w:szCs w:val="21"/>
              </w:rPr>
              <w:t>2021 年 7 月 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日参加了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宋体"/>
                <w:sz w:val="21"/>
                <w:szCs w:val="21"/>
              </w:rPr>
              <w:t>组织的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叉车事故</w:t>
            </w:r>
            <w:r>
              <w:rPr>
                <w:rFonts w:hint="eastAsia" w:ascii="宋体" w:hAnsi="宋体" w:cs="宋体"/>
                <w:sz w:val="21"/>
                <w:szCs w:val="21"/>
              </w:rPr>
              <w:t>预案演练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地点；</w:t>
            </w:r>
            <w:r>
              <w:rPr>
                <w:rFonts w:hint="eastAsia"/>
              </w:rPr>
              <w:t>石灰窑仓库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</w:rPr>
              <w:t>，提供了相关记录。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应急准备和响应实施方案具有可操作性，应急求援人员已基本掌握该方案，能够应付突发事件。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自体系运行以来未出现应急事故情况。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60288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97674"/>
    <w:multiLevelType w:val="singleLevel"/>
    <w:tmpl w:val="45C97674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16091"/>
    <w:rsid w:val="0B6E1DBA"/>
    <w:rsid w:val="0B8E420A"/>
    <w:rsid w:val="36E2737F"/>
    <w:rsid w:val="3A40479E"/>
    <w:rsid w:val="3ABD5DEE"/>
    <w:rsid w:val="3F2C3B05"/>
    <w:rsid w:val="42100EF9"/>
    <w:rsid w:val="444B446B"/>
    <w:rsid w:val="4C1C43D8"/>
    <w:rsid w:val="5A730C51"/>
    <w:rsid w:val="5B914A01"/>
    <w:rsid w:val="60EE6452"/>
    <w:rsid w:val="66E83943"/>
    <w:rsid w:val="681C1AF7"/>
    <w:rsid w:val="68BE2BAE"/>
    <w:rsid w:val="69B30239"/>
    <w:rsid w:val="6C51426E"/>
    <w:rsid w:val="77E361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10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2021-12-11T14:52:06Z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550A91D75FD74778A1E706BB961D85C0</vt:lpwstr>
  </property>
  <property fmtid="{D5CDD505-2E9C-101B-9397-08002B2CF9AE}" pid="3" name="KSOProductBuildVer">
    <vt:lpwstr>2052-11.1.0.11115</vt:lpwstr>
  </property>
</Properties>
</file>