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Theme="minorEastAsia"/>
          <w:bCs/>
          <w:color w:val="000000"/>
          <w:sz w:val="36"/>
          <w:szCs w:val="36"/>
        </w:rPr>
      </w:pPr>
      <w:r>
        <w:rPr>
          <w:rFonts w:hAnsiTheme="minorEastAsia" w:eastAsia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452"/>
        <w:gridCol w:w="107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72" w:type="dxa"/>
            <w:vMerge w:val="restart"/>
            <w:vAlign w:val="center"/>
          </w:tcPr>
          <w:p>
            <w:pPr>
              <w:spacing w:before="120"/>
              <w:jc w:val="center"/>
              <w:rPr>
                <w:rFonts w:eastAsiaTheme="minorEastAsia"/>
                <w:sz w:val="24"/>
                <w:szCs w:val="24"/>
              </w:rPr>
            </w:pPr>
            <w:r>
              <w:rPr>
                <w:rFonts w:hAnsiTheme="minorEastAsia" w:eastAsiaTheme="minorEastAsia"/>
                <w:sz w:val="24"/>
                <w:szCs w:val="24"/>
              </w:rPr>
              <w:t>过程与活动、</w:t>
            </w:r>
          </w:p>
          <w:p>
            <w:pPr>
              <w:jc w:val="center"/>
              <w:rPr>
                <w:rFonts w:eastAsiaTheme="minorEastAsia"/>
                <w:sz w:val="24"/>
                <w:szCs w:val="24"/>
              </w:rPr>
            </w:pPr>
            <w:r>
              <w:rPr>
                <w:rFonts w:hAnsiTheme="minorEastAsia" w:eastAsiaTheme="minorEastAsia"/>
                <w:sz w:val="24"/>
                <w:szCs w:val="24"/>
              </w:rPr>
              <w:t>抽样计划</w:t>
            </w:r>
          </w:p>
        </w:tc>
        <w:tc>
          <w:tcPr>
            <w:tcW w:w="1452" w:type="dxa"/>
            <w:vMerge w:val="restart"/>
            <w:vAlign w:val="center"/>
          </w:tcPr>
          <w:p>
            <w:pPr>
              <w:rPr>
                <w:rFonts w:eastAsiaTheme="minorEastAsia"/>
                <w:sz w:val="24"/>
                <w:szCs w:val="24"/>
              </w:rPr>
            </w:pPr>
            <w:r>
              <w:rPr>
                <w:rFonts w:hAnsiTheme="minorEastAsia" w:eastAsiaTheme="minorEastAsia"/>
                <w:sz w:val="24"/>
                <w:szCs w:val="24"/>
              </w:rPr>
              <w:t>涉及条款</w:t>
            </w:r>
          </w:p>
        </w:tc>
        <w:tc>
          <w:tcPr>
            <w:tcW w:w="10734" w:type="dxa"/>
            <w:vAlign w:val="center"/>
          </w:tcPr>
          <w:p>
            <w:pPr>
              <w:spacing w:beforeLines="30" w:afterLines="30" w:line="288" w:lineRule="auto"/>
              <w:rPr>
                <w:rFonts w:eastAsiaTheme="minorEastAsia"/>
                <w:sz w:val="24"/>
                <w:szCs w:val="24"/>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总经理：</w:t>
            </w:r>
            <w:r>
              <w:rPr>
                <w:rFonts w:hint="eastAsia" w:ascii="宋体" w:hAnsi="宋体"/>
                <w:sz w:val="24"/>
              </w:rPr>
              <w:t>周文明</w:t>
            </w:r>
            <w:r>
              <w:rPr>
                <w:rFonts w:eastAsiaTheme="minorEastAsia"/>
                <w:sz w:val="24"/>
                <w:szCs w:val="24"/>
              </w:rPr>
              <w:t xml:space="preserve">    </w:t>
            </w:r>
            <w:r>
              <w:rPr>
                <w:rFonts w:hAnsiTheme="minorEastAsia" w:eastAsiaTheme="minorEastAsia"/>
                <w:sz w:val="24"/>
                <w:szCs w:val="24"/>
              </w:rPr>
              <w:t>管代：</w:t>
            </w:r>
            <w:r>
              <w:rPr>
                <w:rFonts w:hint="eastAsia" w:ascii="宋体" w:hAnsi="宋体"/>
                <w:sz w:val="24"/>
              </w:rPr>
              <w:t xml:space="preserve">朱怀明 </w:t>
            </w:r>
            <w:r>
              <w:rPr>
                <w:rFonts w:hint="eastAsia" w:hAnsiTheme="minorEastAsia" w:eastAsiaTheme="minorEastAsia"/>
                <w:sz w:val="24"/>
                <w:szCs w:val="24"/>
              </w:rPr>
              <w:t xml:space="preserve">  </w:t>
            </w:r>
            <w:r>
              <w:rPr>
                <w:rFonts w:hAnsiTheme="minorEastAsia" w:eastAsiaTheme="minorEastAsia"/>
                <w:sz w:val="24"/>
                <w:szCs w:val="24"/>
              </w:rPr>
              <w:t>安全事务代表：</w:t>
            </w:r>
            <w:r>
              <w:rPr>
                <w:rFonts w:hint="eastAsia" w:hAnsiTheme="minorEastAsia" w:eastAsiaTheme="minorEastAsia"/>
                <w:sz w:val="24"/>
                <w:szCs w:val="24"/>
              </w:rPr>
              <w:t>戴义星</w:t>
            </w:r>
          </w:p>
        </w:tc>
        <w:tc>
          <w:tcPr>
            <w:tcW w:w="851" w:type="dxa"/>
            <w:vMerge w:val="restart"/>
            <w:vAlign w:val="center"/>
          </w:tcPr>
          <w:p>
            <w:pPr>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72" w:type="dxa"/>
            <w:vMerge w:val="continue"/>
            <w:vAlign w:val="center"/>
          </w:tcPr>
          <w:p>
            <w:pPr>
              <w:rPr>
                <w:rFonts w:eastAsiaTheme="minorEastAsia"/>
                <w:sz w:val="24"/>
                <w:szCs w:val="24"/>
              </w:rPr>
            </w:pPr>
          </w:p>
        </w:tc>
        <w:tc>
          <w:tcPr>
            <w:tcW w:w="1452" w:type="dxa"/>
            <w:vMerge w:val="continue"/>
            <w:vAlign w:val="center"/>
          </w:tcPr>
          <w:p>
            <w:pPr>
              <w:rPr>
                <w:rFonts w:eastAsiaTheme="minorEastAsia"/>
                <w:sz w:val="24"/>
                <w:szCs w:val="24"/>
              </w:rPr>
            </w:pPr>
          </w:p>
        </w:tc>
        <w:tc>
          <w:tcPr>
            <w:tcW w:w="10734" w:type="dxa"/>
            <w:vAlign w:val="center"/>
          </w:tcPr>
          <w:p>
            <w:pPr>
              <w:spacing w:beforeLines="30" w:afterLines="30" w:line="288" w:lineRule="auto"/>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rPr>
              <w:t xml:space="preserve"> </w:t>
            </w:r>
            <w:r>
              <w:rPr>
                <w:rFonts w:hint="eastAsia" w:hAnsiTheme="minorEastAsia" w:eastAsiaTheme="minorEastAsia"/>
                <w:sz w:val="24"/>
                <w:szCs w:val="24"/>
                <w:lang w:val="en-US" w:eastAsia="zh-CN"/>
              </w:rPr>
              <w:t>伍光华</w:t>
            </w:r>
            <w:r>
              <w:rPr>
                <w:rFonts w:eastAsiaTheme="minorEastAsia"/>
                <w:sz w:val="24"/>
                <w:szCs w:val="24"/>
              </w:rPr>
              <w:t xml:space="preserve">         </w:t>
            </w:r>
            <w:r>
              <w:rPr>
                <w:rFonts w:hAnsiTheme="minorEastAsia" w:eastAsiaTheme="minorEastAsia"/>
                <w:sz w:val="24"/>
                <w:szCs w:val="24"/>
              </w:rPr>
              <w:t>审核时间：</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1.12.11</w:t>
            </w:r>
          </w:p>
        </w:tc>
        <w:tc>
          <w:tcPr>
            <w:tcW w:w="851"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2" w:type="dxa"/>
            <w:vMerge w:val="continue"/>
            <w:vAlign w:val="center"/>
          </w:tcPr>
          <w:p>
            <w:pPr>
              <w:rPr>
                <w:rFonts w:eastAsiaTheme="minorEastAsia"/>
                <w:sz w:val="24"/>
                <w:szCs w:val="24"/>
              </w:rPr>
            </w:pPr>
          </w:p>
        </w:tc>
        <w:tc>
          <w:tcPr>
            <w:tcW w:w="1452" w:type="dxa"/>
            <w:vMerge w:val="continue"/>
            <w:vAlign w:val="center"/>
          </w:tcPr>
          <w:p>
            <w:pPr>
              <w:rPr>
                <w:rFonts w:eastAsiaTheme="minorEastAsia"/>
                <w:sz w:val="24"/>
                <w:szCs w:val="24"/>
              </w:rPr>
            </w:pPr>
          </w:p>
        </w:tc>
        <w:tc>
          <w:tcPr>
            <w:tcW w:w="10734" w:type="dxa"/>
            <w:vAlign w:val="center"/>
          </w:tcPr>
          <w:p>
            <w:pPr>
              <w:spacing w:beforeLines="30" w:afterLines="30" w:line="288" w:lineRule="auto"/>
              <w:rPr>
                <w:rFonts w:eastAsiaTheme="minorEastAsia"/>
                <w:szCs w:val="24"/>
              </w:rPr>
            </w:pPr>
            <w:r>
              <w:rPr>
                <w:rFonts w:hAnsiTheme="minorEastAsia" w:eastAsiaTheme="minorEastAsia"/>
                <w:szCs w:val="24"/>
              </w:rPr>
              <w:t>审核条款：</w:t>
            </w:r>
          </w:p>
          <w:p>
            <w:pPr>
              <w:spacing w:beforeLines="30" w:afterLines="30" w:line="288" w:lineRule="auto"/>
              <w:rPr>
                <w:rFonts w:eastAsiaTheme="minorEastAsia"/>
                <w:szCs w:val="24"/>
              </w:rPr>
            </w:pPr>
            <w:r>
              <w:rPr>
                <w:rFonts w:eastAsiaTheme="minorEastAsia"/>
                <w:szCs w:val="24"/>
              </w:rPr>
              <w:t>E/OMS:4.1</w:t>
            </w:r>
            <w:r>
              <w:rPr>
                <w:rFonts w:hAnsiTheme="minorEastAsia" w:eastAsiaTheme="minorEastAsia"/>
                <w:szCs w:val="24"/>
              </w:rPr>
              <w:t>理解组织及其环境、</w:t>
            </w:r>
            <w:r>
              <w:rPr>
                <w:rFonts w:eastAsiaTheme="minorEastAsia"/>
                <w:szCs w:val="24"/>
              </w:rPr>
              <w:t>4.2</w:t>
            </w:r>
            <w:r>
              <w:rPr>
                <w:rFonts w:hAnsiTheme="minorEastAsia" w:eastAsiaTheme="minorEastAsia"/>
                <w:szCs w:val="24"/>
              </w:rPr>
              <w:t>理解相关方的需求和期望、</w:t>
            </w:r>
            <w:r>
              <w:rPr>
                <w:rFonts w:eastAsiaTheme="minorEastAsia"/>
                <w:szCs w:val="24"/>
              </w:rPr>
              <w:t xml:space="preserve">4.3 </w:t>
            </w:r>
            <w:r>
              <w:rPr>
                <w:rFonts w:hAnsiTheme="minorEastAsia" w:eastAsiaTheme="minorEastAsia"/>
                <w:szCs w:val="24"/>
              </w:rPr>
              <w:t>确定管理体系的范围、</w:t>
            </w:r>
            <w:r>
              <w:rPr>
                <w:rFonts w:eastAsiaTheme="minorEastAsia"/>
                <w:szCs w:val="24"/>
              </w:rPr>
              <w:t>4.4</w:t>
            </w:r>
            <w:r>
              <w:rPr>
                <w:rFonts w:hAnsiTheme="minorEastAsia" w:eastAsiaTheme="minorEastAsia"/>
                <w:szCs w:val="24"/>
              </w:rPr>
              <w:t>环境管理体系及其过程、</w:t>
            </w:r>
            <w:r>
              <w:rPr>
                <w:rFonts w:eastAsiaTheme="minorEastAsia"/>
                <w:szCs w:val="24"/>
              </w:rPr>
              <w:t>5.1</w:t>
            </w:r>
            <w:r>
              <w:rPr>
                <w:rFonts w:hAnsiTheme="minorEastAsia" w:eastAsiaTheme="minorEastAsia"/>
                <w:szCs w:val="24"/>
              </w:rPr>
              <w:t>领导作用和承诺、</w:t>
            </w:r>
            <w:r>
              <w:rPr>
                <w:rFonts w:eastAsiaTheme="minorEastAsia"/>
                <w:szCs w:val="24"/>
              </w:rPr>
              <w:t>5.2</w:t>
            </w:r>
            <w:r>
              <w:rPr>
                <w:rFonts w:hAnsiTheme="minorEastAsia" w:eastAsiaTheme="minorEastAsia"/>
                <w:szCs w:val="24"/>
              </w:rPr>
              <w:t>环境方针、</w:t>
            </w:r>
            <w:r>
              <w:rPr>
                <w:rFonts w:eastAsiaTheme="minorEastAsia"/>
                <w:szCs w:val="24"/>
              </w:rPr>
              <w:t>5.3</w:t>
            </w:r>
            <w:r>
              <w:rPr>
                <w:rFonts w:hAnsiTheme="minorEastAsia" w:eastAsiaTheme="minorEastAsia"/>
                <w:szCs w:val="24"/>
              </w:rPr>
              <w:t>组织的岗位、职责和权限、</w:t>
            </w:r>
            <w:r>
              <w:rPr>
                <w:rFonts w:eastAsiaTheme="minorEastAsia"/>
                <w:szCs w:val="24"/>
              </w:rPr>
              <w:t>O5.4</w:t>
            </w:r>
            <w:r>
              <w:rPr>
                <w:rFonts w:hAnsiTheme="minorEastAsia" w:eastAsiaTheme="minorEastAsia"/>
                <w:szCs w:val="24"/>
              </w:rPr>
              <w:t>协商与参与、</w:t>
            </w:r>
            <w:r>
              <w:rPr>
                <w:rFonts w:eastAsiaTheme="minorEastAsia"/>
                <w:szCs w:val="24"/>
              </w:rPr>
              <w:t>6.1</w:t>
            </w:r>
            <w:r>
              <w:rPr>
                <w:rFonts w:hAnsiTheme="minorEastAsia" w:eastAsiaTheme="minorEastAsia"/>
                <w:szCs w:val="24"/>
              </w:rPr>
              <w:t>应对风险和机遇的措施、</w:t>
            </w:r>
            <w:r>
              <w:rPr>
                <w:rFonts w:eastAsiaTheme="minorEastAsia"/>
                <w:szCs w:val="24"/>
              </w:rPr>
              <w:t>6.2</w:t>
            </w:r>
            <w:r>
              <w:rPr>
                <w:rFonts w:hAnsiTheme="minorEastAsia" w:eastAsiaTheme="minorEastAsia"/>
                <w:szCs w:val="24"/>
              </w:rPr>
              <w:t>环境目标及其实现的策划、</w:t>
            </w:r>
            <w:r>
              <w:rPr>
                <w:rFonts w:eastAsiaTheme="minorEastAsia"/>
                <w:szCs w:val="24"/>
              </w:rPr>
              <w:t>9.3</w:t>
            </w:r>
            <w:r>
              <w:rPr>
                <w:rFonts w:hAnsiTheme="minorEastAsia" w:eastAsiaTheme="minorEastAsia"/>
                <w:szCs w:val="24"/>
              </w:rPr>
              <w:t>管理评审、</w:t>
            </w:r>
            <w:r>
              <w:rPr>
                <w:rFonts w:eastAsiaTheme="minorEastAsia"/>
                <w:szCs w:val="24"/>
              </w:rPr>
              <w:t>10.1</w:t>
            </w:r>
            <w:r>
              <w:rPr>
                <w:rFonts w:hAnsiTheme="minorEastAsia" w:eastAsiaTheme="minorEastAsia"/>
                <w:szCs w:val="24"/>
              </w:rPr>
              <w:t>改进、</w:t>
            </w:r>
            <w:r>
              <w:rPr>
                <w:rFonts w:eastAsiaTheme="minorEastAsia"/>
                <w:szCs w:val="24"/>
              </w:rPr>
              <w:t>10.3</w:t>
            </w:r>
            <w:r>
              <w:rPr>
                <w:rFonts w:hAnsiTheme="minorEastAsia" w:eastAsiaTheme="minorEastAsia"/>
                <w:szCs w:val="24"/>
              </w:rPr>
              <w:t>持续改进，</w:t>
            </w:r>
          </w:p>
          <w:p>
            <w:pPr>
              <w:spacing w:beforeLines="30" w:afterLines="30" w:line="288" w:lineRule="auto"/>
              <w:rPr>
                <w:rFonts w:eastAsiaTheme="minorEastAsia"/>
                <w:spacing w:val="-6"/>
                <w:szCs w:val="21"/>
              </w:rPr>
            </w:pPr>
            <w:r>
              <w:rPr>
                <w:rFonts w:hint="eastAsia" w:hAnsiTheme="minorEastAsia" w:eastAsiaTheme="minorEastAsia"/>
                <w:spacing w:val="-6"/>
                <w:szCs w:val="21"/>
              </w:rPr>
              <w:t>标准/规范/法规的执行情况、上次审核不符合项的验证、认证证书、标志的使用情况、投诉或事故、监督抽查情况、体系变动；</w:t>
            </w:r>
          </w:p>
        </w:tc>
        <w:tc>
          <w:tcPr>
            <w:tcW w:w="851"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72" w:type="dxa"/>
            <w:vAlign w:val="center"/>
          </w:tcPr>
          <w:p>
            <w:pPr>
              <w:rPr>
                <w:rFonts w:eastAsiaTheme="minorEastAsia"/>
                <w:b/>
                <w:szCs w:val="24"/>
              </w:rPr>
            </w:pPr>
            <w:r>
              <w:rPr>
                <w:rFonts w:hAnsiTheme="minorEastAsia" w:eastAsiaTheme="minorEastAsia"/>
                <w:szCs w:val="24"/>
              </w:rPr>
              <w:t>企业基本信息</w:t>
            </w:r>
          </w:p>
        </w:tc>
        <w:tc>
          <w:tcPr>
            <w:tcW w:w="1452" w:type="dxa"/>
            <w:vAlign w:val="center"/>
          </w:tcPr>
          <w:p>
            <w:pPr>
              <w:rPr>
                <w:rFonts w:eastAsiaTheme="minorEastAsia"/>
                <w:b/>
                <w:szCs w:val="24"/>
              </w:rPr>
            </w:pPr>
          </w:p>
        </w:tc>
        <w:tc>
          <w:tcPr>
            <w:tcW w:w="10734" w:type="dxa"/>
            <w:vAlign w:val="center"/>
          </w:tcPr>
          <w:p>
            <w:pPr>
              <w:spacing w:beforeLines="30" w:afterLines="30" w:line="288" w:lineRule="auto"/>
              <w:ind w:firstLine="420" w:firstLineChars="200"/>
              <w:rPr>
                <w:rFonts w:eastAsiaTheme="minorEastAsia"/>
                <w:szCs w:val="24"/>
              </w:rPr>
            </w:pPr>
            <w:r>
              <w:rPr>
                <w:rFonts w:hAnsiTheme="minorEastAsia" w:eastAsiaTheme="minorEastAsia"/>
                <w:szCs w:val="24"/>
              </w:rPr>
              <w:t>面谈人员：</w:t>
            </w:r>
            <w:r>
              <w:rPr>
                <w:rFonts w:hAnsiTheme="minorEastAsia" w:eastAsiaTheme="minorEastAsia"/>
                <w:sz w:val="24"/>
                <w:szCs w:val="24"/>
              </w:rPr>
              <w:t>总经理：</w:t>
            </w:r>
            <w:r>
              <w:rPr>
                <w:rFonts w:hint="eastAsia" w:ascii="宋体" w:hAnsi="宋体"/>
                <w:sz w:val="24"/>
              </w:rPr>
              <w:t>周文明</w:t>
            </w:r>
            <w:r>
              <w:rPr>
                <w:rFonts w:eastAsiaTheme="minorEastAsia"/>
                <w:sz w:val="24"/>
                <w:szCs w:val="24"/>
              </w:rPr>
              <w:t xml:space="preserve">    </w:t>
            </w:r>
            <w:r>
              <w:rPr>
                <w:rFonts w:hAnsiTheme="minorEastAsia" w:eastAsiaTheme="minorEastAsia"/>
                <w:sz w:val="24"/>
                <w:szCs w:val="24"/>
              </w:rPr>
              <w:t>管代：</w:t>
            </w:r>
            <w:r>
              <w:rPr>
                <w:rFonts w:hint="eastAsia" w:hAnsiTheme="minorEastAsia" w:eastAsiaTheme="minorEastAsia"/>
                <w:sz w:val="24"/>
                <w:szCs w:val="24"/>
              </w:rPr>
              <w:t>朱怀明</w:t>
            </w:r>
          </w:p>
          <w:p>
            <w:pPr>
              <w:spacing w:beforeLines="30" w:afterLines="30" w:line="288" w:lineRule="auto"/>
              <w:ind w:firstLine="420" w:firstLineChars="200"/>
              <w:rPr>
                <w:rFonts w:eastAsiaTheme="minorEastAsia"/>
                <w:szCs w:val="24"/>
              </w:rPr>
            </w:pPr>
            <w:bookmarkStart w:id="0" w:name="组织名称"/>
            <w:r>
              <w:rPr>
                <w:rFonts w:hAnsiTheme="minorEastAsia" w:eastAsiaTheme="minorEastAsia"/>
                <w:szCs w:val="24"/>
              </w:rPr>
              <w:t>瑞昌市江瑞冶金材料有限公司</w:t>
            </w:r>
            <w:bookmarkEnd w:id="0"/>
            <w:r>
              <w:rPr>
                <w:rFonts w:hAnsiTheme="minorEastAsia" w:eastAsiaTheme="minorEastAsia"/>
                <w:szCs w:val="24"/>
              </w:rPr>
              <w:t>，成立于</w:t>
            </w:r>
            <w:r>
              <w:rPr>
                <w:rFonts w:eastAsiaTheme="minorEastAsia"/>
                <w:szCs w:val="24"/>
              </w:rPr>
              <w:t>2008</w:t>
            </w:r>
            <w:r>
              <w:rPr>
                <w:rFonts w:hAnsiTheme="minorEastAsia" w:eastAsiaTheme="minorEastAsia"/>
                <w:szCs w:val="24"/>
              </w:rPr>
              <w:t>年</w:t>
            </w:r>
            <w:r>
              <w:rPr>
                <w:rFonts w:eastAsiaTheme="minorEastAsia"/>
                <w:szCs w:val="24"/>
              </w:rPr>
              <w:t>5</w:t>
            </w:r>
            <w:r>
              <w:rPr>
                <w:rFonts w:hAnsiTheme="minorEastAsia" w:eastAsiaTheme="minorEastAsia"/>
                <w:szCs w:val="24"/>
              </w:rPr>
              <w:t>月，法人代表黄东屏，注册地址：</w:t>
            </w:r>
            <w:bookmarkStart w:id="1" w:name="生产地址"/>
            <w:r>
              <w:rPr>
                <w:rFonts w:hAnsiTheme="minorEastAsia" w:eastAsiaTheme="minorEastAsia"/>
                <w:szCs w:val="24"/>
              </w:rPr>
              <w:t>江西省瑞昌市夏畈镇小桥村</w:t>
            </w:r>
            <w:bookmarkEnd w:id="1"/>
            <w:r>
              <w:rPr>
                <w:rFonts w:hAnsiTheme="minorEastAsia" w:eastAsiaTheme="minorEastAsia"/>
                <w:szCs w:val="24"/>
              </w:rPr>
              <w:t>；经营地址：江西省瑞昌市夏畈镇虞家村。</w:t>
            </w:r>
          </w:p>
          <w:p>
            <w:pPr>
              <w:spacing w:beforeLines="30" w:afterLines="30" w:line="288" w:lineRule="auto"/>
              <w:ind w:firstLine="420" w:firstLineChars="200"/>
              <w:rPr>
                <w:rFonts w:eastAsiaTheme="minorEastAsia"/>
                <w:szCs w:val="24"/>
              </w:rPr>
            </w:pPr>
            <w:r>
              <w:rPr>
                <w:rFonts w:hAnsiTheme="minorEastAsia" w:eastAsiaTheme="minorEastAsia"/>
                <w:szCs w:val="24"/>
              </w:rPr>
              <w:t>经营范围能包含认证范围。</w:t>
            </w:r>
          </w:p>
          <w:p>
            <w:pPr>
              <w:spacing w:beforeLines="30" w:afterLines="30" w:line="288" w:lineRule="auto"/>
              <w:ind w:firstLine="420" w:firstLineChars="200"/>
              <w:rPr>
                <w:rFonts w:eastAsiaTheme="minorEastAsia"/>
                <w:szCs w:val="24"/>
              </w:rPr>
            </w:pPr>
            <w:r>
              <w:rPr>
                <w:rFonts w:hAnsiTheme="minorEastAsia" w:eastAsiaTheme="minorEastAsia"/>
                <w:szCs w:val="24"/>
              </w:rPr>
              <w:t>提供了组织营业执照、采矿许可证、安全生产许可证、排污许可证均为有效，见附件。</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672" w:type="dxa"/>
            <w:vAlign w:val="center"/>
          </w:tcPr>
          <w:p>
            <w:pPr>
              <w:rPr>
                <w:rFonts w:eastAsiaTheme="minorEastAsia"/>
                <w:b/>
                <w:szCs w:val="24"/>
              </w:rPr>
            </w:pPr>
            <w:r>
              <w:rPr>
                <w:rFonts w:hAnsiTheme="minorEastAsia" w:eastAsiaTheme="minorEastAsia"/>
                <w:szCs w:val="24"/>
              </w:rPr>
              <w:t>领导作用和承诺、组织的岗位职责和权限</w:t>
            </w:r>
          </w:p>
        </w:tc>
        <w:tc>
          <w:tcPr>
            <w:tcW w:w="1452" w:type="dxa"/>
            <w:vAlign w:val="center"/>
          </w:tcPr>
          <w:p>
            <w:pPr>
              <w:rPr>
                <w:rFonts w:eastAsiaTheme="minorEastAsia"/>
                <w:b/>
                <w:szCs w:val="24"/>
              </w:rPr>
            </w:pPr>
            <w:r>
              <w:rPr>
                <w:rFonts w:eastAsiaTheme="minorEastAsia"/>
                <w:szCs w:val="24"/>
              </w:rPr>
              <w:t>EO</w:t>
            </w:r>
            <w:r>
              <w:rPr>
                <w:rFonts w:hAnsiTheme="minorEastAsia" w:eastAsiaTheme="minorEastAsia"/>
                <w:szCs w:val="24"/>
              </w:rPr>
              <w:t>：</w:t>
            </w:r>
            <w:r>
              <w:rPr>
                <w:rFonts w:eastAsiaTheme="minorEastAsia"/>
                <w:szCs w:val="24"/>
              </w:rPr>
              <w:t>5.1</w:t>
            </w:r>
            <w:r>
              <w:rPr>
                <w:rFonts w:hAnsiTheme="minorEastAsia" w:eastAsiaTheme="minorEastAsia"/>
                <w:szCs w:val="24"/>
              </w:rPr>
              <w:t>，</w:t>
            </w:r>
            <w:r>
              <w:rPr>
                <w:rFonts w:eastAsiaTheme="minorEastAsia"/>
                <w:szCs w:val="24"/>
              </w:rPr>
              <w:t xml:space="preserve">5.3  </w:t>
            </w:r>
          </w:p>
        </w:tc>
        <w:tc>
          <w:tcPr>
            <w:tcW w:w="10734" w:type="dxa"/>
            <w:vAlign w:val="center"/>
          </w:tcPr>
          <w:p>
            <w:pPr>
              <w:spacing w:beforeLines="30" w:afterLines="30" w:line="288" w:lineRule="auto"/>
              <w:ind w:firstLine="420" w:firstLineChars="200"/>
              <w:rPr>
                <w:rFonts w:eastAsiaTheme="minorEastAsia"/>
                <w:szCs w:val="24"/>
              </w:rPr>
            </w:pPr>
            <w:r>
              <w:rPr>
                <w:rFonts w:hAnsiTheme="minorEastAsia" w:eastAsiaTheme="minorEastAsia"/>
                <w:szCs w:val="24"/>
              </w:rPr>
              <w:t>据负责人周文明介绍，公司环境和职业健康安全管理体系</w:t>
            </w:r>
            <w:r>
              <w:rPr>
                <w:rFonts w:eastAsiaTheme="minorEastAsia"/>
                <w:szCs w:val="24"/>
              </w:rPr>
              <w:t>2019</w:t>
            </w:r>
            <w:r>
              <w:rPr>
                <w:rFonts w:hAnsiTheme="minorEastAsia" w:eastAsiaTheme="minorEastAsia"/>
                <w:szCs w:val="24"/>
              </w:rPr>
              <w:t>年</w:t>
            </w:r>
            <w:r>
              <w:rPr>
                <w:rFonts w:eastAsiaTheme="minorEastAsia"/>
                <w:szCs w:val="24"/>
              </w:rPr>
              <w:t>6</w:t>
            </w:r>
            <w:r>
              <w:rPr>
                <w:rFonts w:hAnsiTheme="minorEastAsia" w:eastAsiaTheme="minorEastAsia"/>
                <w:szCs w:val="24"/>
              </w:rPr>
              <w:t>月</w:t>
            </w:r>
            <w:r>
              <w:rPr>
                <w:rFonts w:eastAsiaTheme="minorEastAsia"/>
                <w:szCs w:val="24"/>
              </w:rPr>
              <w:t>1</w:t>
            </w:r>
            <w:r>
              <w:rPr>
                <w:rFonts w:hAnsiTheme="minorEastAsia" w:eastAsiaTheme="minorEastAsia"/>
                <w:szCs w:val="24"/>
              </w:rPr>
              <w:t>日，经过</w:t>
            </w:r>
            <w:r>
              <w:rPr>
                <w:rFonts w:hint="eastAsia" w:hAnsiTheme="minorEastAsia" w:eastAsiaTheme="minorEastAsia"/>
                <w:szCs w:val="24"/>
                <w:lang w:val="en-US" w:eastAsia="zh-CN"/>
              </w:rPr>
              <w:t>2</w:t>
            </w:r>
            <w:r>
              <w:rPr>
                <w:rFonts w:hint="eastAsia" w:hAnsiTheme="minorEastAsia" w:eastAsiaTheme="minorEastAsia"/>
                <w:szCs w:val="24"/>
              </w:rPr>
              <w:t>年多</w:t>
            </w:r>
            <w:r>
              <w:rPr>
                <w:rFonts w:hAnsiTheme="minorEastAsia" w:eastAsiaTheme="minorEastAsia"/>
                <w:szCs w:val="24"/>
              </w:rPr>
              <w:t>的运行，按公司组织机构：行政部、财务部、供应部、销售部、仓储部、生产部，对部门及其职责进行了规定，编制了岗位职责汇编，以文件上发的形式沟通各部门的职责及各部门之间工作的联系。</w:t>
            </w:r>
          </w:p>
          <w:p>
            <w:pPr>
              <w:spacing w:beforeLines="30" w:afterLines="30" w:line="288" w:lineRule="auto"/>
              <w:ind w:firstLine="420" w:firstLineChars="200"/>
              <w:rPr>
                <w:rFonts w:eastAsiaTheme="minorEastAsia"/>
                <w:color w:val="000000"/>
                <w:szCs w:val="24"/>
              </w:rPr>
            </w:pPr>
            <w:r>
              <w:rPr>
                <w:rFonts w:hAnsiTheme="minorEastAsia" w:eastAsiaTheme="minorEastAsia"/>
                <w:szCs w:val="24"/>
              </w:rPr>
              <w:t>总经理周文明，主要负责公司全面工作，</w:t>
            </w:r>
            <w:r>
              <w:rPr>
                <w:rFonts w:hAnsiTheme="minorEastAsia" w:eastAsiaTheme="minorEastAsia"/>
                <w:color w:val="000000"/>
                <w:szCs w:val="24"/>
              </w:rPr>
              <w:t>日常主要侧重于公司财务及市场工作，根据体系的要求，负责组织制定方针、目标，管理评审等工作；</w:t>
            </w:r>
          </w:p>
          <w:p>
            <w:pPr>
              <w:spacing w:beforeLines="30" w:afterLines="30" w:line="288" w:lineRule="auto"/>
              <w:ind w:firstLine="420" w:firstLineChars="200"/>
              <w:rPr>
                <w:rFonts w:eastAsiaTheme="minorEastAsia"/>
                <w:szCs w:val="24"/>
              </w:rPr>
            </w:pPr>
            <w:r>
              <w:rPr>
                <w:rFonts w:hAnsiTheme="minorEastAsia" w:eastAsiaTheme="minorEastAsia"/>
                <w:szCs w:val="24"/>
              </w:rPr>
              <w:t>管代朱怀明，主要负责公司行政及体系工作。</w:t>
            </w:r>
          </w:p>
          <w:p>
            <w:pPr>
              <w:spacing w:beforeLines="30" w:afterLines="30" w:line="288" w:lineRule="auto"/>
              <w:ind w:firstLine="420" w:firstLineChars="200"/>
              <w:rPr>
                <w:rFonts w:eastAsiaTheme="minorEastAsia"/>
                <w:szCs w:val="24"/>
              </w:rPr>
            </w:pPr>
            <w:r>
              <w:rPr>
                <w:rFonts w:eastAsiaTheme="minorEastAsia"/>
                <w:szCs w:val="24"/>
              </w:rPr>
              <w:t>1</w:t>
            </w:r>
            <w:r>
              <w:rPr>
                <w:rFonts w:hAnsiTheme="minorEastAsia" w:eastAsiaTheme="minorEastAsia"/>
                <w:szCs w:val="24"/>
              </w:rPr>
              <w:t>、确保本公司三体系所需的过程得到建立、实施和保持；</w:t>
            </w:r>
          </w:p>
          <w:p>
            <w:pPr>
              <w:spacing w:beforeLines="30" w:afterLines="30" w:line="288" w:lineRule="auto"/>
              <w:ind w:firstLine="420" w:firstLineChars="200"/>
              <w:rPr>
                <w:rFonts w:eastAsiaTheme="minorEastAsia"/>
                <w:szCs w:val="24"/>
              </w:rPr>
            </w:pPr>
            <w:r>
              <w:rPr>
                <w:rFonts w:eastAsiaTheme="minorEastAsia"/>
                <w:szCs w:val="24"/>
              </w:rPr>
              <w:t>2</w:t>
            </w:r>
            <w:r>
              <w:rPr>
                <w:rFonts w:hAnsiTheme="minorEastAsia" w:eastAsiaTheme="minorEastAsia"/>
                <w:szCs w:val="24"/>
              </w:rPr>
              <w:t>、向总经理报告体系运行的业绩，包括改进的需求；</w:t>
            </w:r>
          </w:p>
          <w:p>
            <w:pPr>
              <w:spacing w:beforeLines="30" w:afterLines="30" w:line="288" w:lineRule="auto"/>
              <w:ind w:firstLine="420" w:firstLineChars="200"/>
              <w:rPr>
                <w:rFonts w:eastAsiaTheme="minorEastAsia"/>
                <w:szCs w:val="24"/>
              </w:rPr>
            </w:pPr>
            <w:r>
              <w:rPr>
                <w:rFonts w:eastAsiaTheme="minorEastAsia"/>
                <w:szCs w:val="24"/>
              </w:rPr>
              <w:t>3</w:t>
            </w:r>
            <w:r>
              <w:rPr>
                <w:rFonts w:hAnsiTheme="minorEastAsia" w:eastAsiaTheme="minorEastAsia"/>
                <w:szCs w:val="24"/>
              </w:rPr>
              <w:t>、在全公司范围内促进满足环境保护意识、职业健康安全意识的形成和提高；就体系有关事宜对外联系。</w:t>
            </w:r>
          </w:p>
          <w:p>
            <w:pPr>
              <w:spacing w:beforeLines="30" w:afterLines="30" w:line="288" w:lineRule="auto"/>
              <w:ind w:firstLine="420" w:firstLineChars="200"/>
              <w:rPr>
                <w:rFonts w:eastAsiaTheme="minorEastAsia"/>
                <w:szCs w:val="24"/>
              </w:rPr>
            </w:pPr>
            <w:r>
              <w:rPr>
                <w:rFonts w:hAnsiTheme="minorEastAsia" w:eastAsiaTheme="minorEastAsia"/>
                <w:szCs w:val="24"/>
              </w:rPr>
              <w:t>总经理周文明主持建立了环境、职业健康安全管理体系，对管理体系的运行和保持进行了适当的授权，提供了必需的资源，能履行其管理承诺。</w:t>
            </w:r>
          </w:p>
          <w:p>
            <w:pPr>
              <w:spacing w:beforeLines="30" w:afterLines="30" w:line="288" w:lineRule="auto"/>
              <w:ind w:firstLine="420" w:firstLineChars="200"/>
              <w:rPr>
                <w:rFonts w:eastAsiaTheme="minorEastAsia"/>
                <w:szCs w:val="24"/>
              </w:rPr>
            </w:pPr>
            <w:r>
              <w:rPr>
                <w:rFonts w:hAnsiTheme="minorEastAsia" w:eastAsiaTheme="minorEastAsia"/>
                <w:szCs w:val="24"/>
              </w:rPr>
              <w:t>经交流总经理和管代熟悉管理体系的基本运行情况，比较重视体系建设。</w:t>
            </w:r>
          </w:p>
          <w:p>
            <w:pPr>
              <w:spacing w:beforeLines="30" w:afterLines="30" w:line="288" w:lineRule="auto"/>
              <w:ind w:firstLine="420" w:firstLineChars="200"/>
              <w:rPr>
                <w:rFonts w:eastAsiaTheme="minorEastAsia"/>
                <w:szCs w:val="24"/>
              </w:rPr>
            </w:pPr>
            <w:r>
              <w:rPr>
                <w:rFonts w:hAnsiTheme="minorEastAsia" w:eastAsiaTheme="minorEastAsia"/>
                <w:szCs w:val="24"/>
              </w:rPr>
              <w:t>组织从开始运行以来，组织了内审员及体系相关知识的培训，识别了生产的过程及其相互关系，企业提供编号：</w:t>
            </w:r>
            <w:r>
              <w:rPr>
                <w:rFonts w:eastAsiaTheme="minorEastAsia"/>
                <w:szCs w:val="24"/>
              </w:rPr>
              <w:t>JR-QEO-20</w:t>
            </w:r>
            <w:r>
              <w:rPr>
                <w:rFonts w:hint="eastAsia" w:eastAsiaTheme="minorEastAsia"/>
                <w:szCs w:val="24"/>
              </w:rPr>
              <w:t>20</w:t>
            </w:r>
            <w:r>
              <w:rPr>
                <w:rFonts w:hAnsiTheme="minorEastAsia" w:eastAsiaTheme="minorEastAsia"/>
                <w:szCs w:val="24"/>
              </w:rPr>
              <w:t>《管理手册》</w:t>
            </w:r>
            <w:r>
              <w:rPr>
                <w:rFonts w:eastAsiaTheme="minorEastAsia"/>
                <w:szCs w:val="24"/>
              </w:rPr>
              <w:t>A</w:t>
            </w:r>
            <w:r>
              <w:rPr>
                <w:rFonts w:hint="eastAsia" w:eastAsiaTheme="minorEastAsia"/>
                <w:szCs w:val="24"/>
              </w:rPr>
              <w:t>1</w:t>
            </w:r>
            <w:r>
              <w:rPr>
                <w:rFonts w:hAnsiTheme="minorEastAsia" w:eastAsiaTheme="minorEastAsia"/>
                <w:szCs w:val="24"/>
              </w:rPr>
              <w:t>版，依据</w:t>
            </w:r>
            <w:r>
              <w:rPr>
                <w:rFonts w:eastAsiaTheme="minorEastAsia"/>
                <w:szCs w:val="24"/>
              </w:rPr>
              <w:t>GB/T19001-2016/ISO9001:2015</w:t>
            </w:r>
            <w:r>
              <w:rPr>
                <w:rFonts w:hAnsiTheme="minorEastAsia" w:eastAsiaTheme="minorEastAsia"/>
                <w:szCs w:val="24"/>
              </w:rPr>
              <w:t>、</w:t>
            </w:r>
            <w:r>
              <w:rPr>
                <w:rFonts w:eastAsiaTheme="minorEastAsia"/>
                <w:szCs w:val="24"/>
              </w:rPr>
              <w:t>GB/T24001-2016/IS014001:2015</w:t>
            </w:r>
            <w:r>
              <w:rPr>
                <w:rFonts w:hAnsiTheme="minorEastAsia" w:eastAsiaTheme="minorEastAsia"/>
                <w:szCs w:val="24"/>
              </w:rPr>
              <w:t>、</w:t>
            </w:r>
            <w:r>
              <w:rPr>
                <w:rFonts w:eastAsiaTheme="minorEastAsia"/>
                <w:szCs w:val="24"/>
              </w:rPr>
              <w:t>ISO45001:2018</w:t>
            </w:r>
            <w:r>
              <w:rPr>
                <w:rFonts w:hAnsiTheme="minorEastAsia" w:eastAsiaTheme="minorEastAsia"/>
                <w:szCs w:val="24"/>
              </w:rPr>
              <w:t>标准。</w:t>
            </w:r>
            <w:r>
              <w:rPr>
                <w:rFonts w:eastAsiaTheme="minorEastAsia"/>
                <w:szCs w:val="24"/>
              </w:rPr>
              <w:t>20</w:t>
            </w:r>
            <w:r>
              <w:rPr>
                <w:rFonts w:hint="eastAsia" w:eastAsiaTheme="minorEastAsia"/>
                <w:szCs w:val="24"/>
              </w:rPr>
              <w:t>20</w:t>
            </w:r>
            <w:r>
              <w:rPr>
                <w:rFonts w:eastAsiaTheme="minorEastAsia"/>
                <w:szCs w:val="24"/>
              </w:rPr>
              <w:t>.</w:t>
            </w:r>
            <w:r>
              <w:rPr>
                <w:rFonts w:hint="eastAsia" w:eastAsiaTheme="minorEastAsia"/>
                <w:szCs w:val="24"/>
              </w:rPr>
              <w:t>5</w:t>
            </w:r>
            <w:r>
              <w:rPr>
                <w:rFonts w:eastAsiaTheme="minorEastAsia"/>
                <w:szCs w:val="24"/>
              </w:rPr>
              <w:t>.1</w:t>
            </w:r>
            <w:r>
              <w:rPr>
                <w:rFonts w:hint="eastAsia" w:eastAsiaTheme="minorEastAsia"/>
                <w:szCs w:val="24"/>
              </w:rPr>
              <w:t>0</w:t>
            </w:r>
            <w:r>
              <w:rPr>
                <w:rFonts w:hAnsiTheme="minorEastAsia" w:eastAsiaTheme="minorEastAsia"/>
                <w:szCs w:val="24"/>
              </w:rPr>
              <w:t>发布，</w:t>
            </w:r>
            <w:r>
              <w:rPr>
                <w:rFonts w:eastAsiaTheme="minorEastAsia"/>
                <w:szCs w:val="24"/>
              </w:rPr>
              <w:t>20</w:t>
            </w:r>
            <w:r>
              <w:rPr>
                <w:rFonts w:hint="eastAsia" w:eastAsiaTheme="minorEastAsia"/>
                <w:szCs w:val="24"/>
              </w:rPr>
              <w:t>20</w:t>
            </w:r>
            <w:r>
              <w:rPr>
                <w:rFonts w:eastAsiaTheme="minorEastAsia"/>
                <w:szCs w:val="24"/>
              </w:rPr>
              <w:t>.</w:t>
            </w:r>
            <w:r>
              <w:rPr>
                <w:rFonts w:hint="eastAsia" w:eastAsiaTheme="minorEastAsia"/>
                <w:szCs w:val="24"/>
              </w:rPr>
              <w:t>5</w:t>
            </w:r>
            <w:r>
              <w:rPr>
                <w:rFonts w:eastAsiaTheme="minorEastAsia"/>
                <w:szCs w:val="24"/>
              </w:rPr>
              <w:t>.1</w:t>
            </w:r>
            <w:r>
              <w:rPr>
                <w:rFonts w:hint="eastAsia" w:eastAsiaTheme="minorEastAsia"/>
                <w:szCs w:val="24"/>
              </w:rPr>
              <w:t>0</w:t>
            </w:r>
            <w:r>
              <w:rPr>
                <w:rFonts w:hAnsiTheme="minorEastAsia" w:eastAsiaTheme="minorEastAsia"/>
                <w:szCs w:val="24"/>
              </w:rPr>
              <w:t>实施；总经理周文明批准。任命管代：朱怀明；职业健康安全事务代表：</w:t>
            </w:r>
            <w:r>
              <w:rPr>
                <w:rFonts w:hint="eastAsia" w:hAnsiTheme="minorEastAsia" w:eastAsiaTheme="minorEastAsia"/>
                <w:sz w:val="21"/>
                <w:szCs w:val="21"/>
              </w:rPr>
              <w:t>戴义星</w:t>
            </w:r>
            <w:r>
              <w:rPr>
                <w:rFonts w:hAnsiTheme="minorEastAsia" w:eastAsiaTheme="minorEastAsia"/>
                <w:szCs w:val="24"/>
              </w:rPr>
              <w:t>，体系运行</w:t>
            </w:r>
            <w:r>
              <w:rPr>
                <w:rFonts w:hint="eastAsia" w:hAnsiTheme="minorEastAsia" w:eastAsiaTheme="minorEastAsia"/>
                <w:szCs w:val="24"/>
              </w:rPr>
              <w:t>1年多，</w:t>
            </w:r>
            <w:r>
              <w:rPr>
                <w:rFonts w:hAnsiTheme="minorEastAsia" w:eastAsiaTheme="minorEastAsia"/>
                <w:szCs w:val="24"/>
              </w:rPr>
              <w:t>现有手册从发布实施以来已经运行</w:t>
            </w:r>
            <w:r>
              <w:rPr>
                <w:rFonts w:eastAsiaTheme="minorEastAsia"/>
                <w:szCs w:val="24"/>
              </w:rPr>
              <w:t xml:space="preserve"> </w:t>
            </w:r>
            <w:r>
              <w:rPr>
                <w:rFonts w:hint="eastAsia" w:eastAsiaTheme="minorEastAsia"/>
                <w:szCs w:val="24"/>
              </w:rPr>
              <w:t>6</w:t>
            </w:r>
            <w:r>
              <w:rPr>
                <w:rFonts w:hAnsiTheme="minorEastAsia" w:eastAsiaTheme="minorEastAsia"/>
                <w:szCs w:val="24"/>
              </w:rPr>
              <w:t>个月以上。</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72" w:type="dxa"/>
            <w:vAlign w:val="center"/>
          </w:tcPr>
          <w:p>
            <w:pPr>
              <w:rPr>
                <w:rFonts w:eastAsiaTheme="minorEastAsia"/>
                <w:b/>
                <w:szCs w:val="24"/>
              </w:rPr>
            </w:pPr>
            <w:r>
              <w:rPr>
                <w:rFonts w:hAnsiTheme="minorEastAsia" w:eastAsiaTheme="minorEastAsia"/>
                <w:szCs w:val="24"/>
              </w:rPr>
              <w:t>理解组织及其环境</w:t>
            </w:r>
          </w:p>
        </w:tc>
        <w:tc>
          <w:tcPr>
            <w:tcW w:w="1452" w:type="dxa"/>
            <w:vAlign w:val="center"/>
          </w:tcPr>
          <w:p>
            <w:pPr>
              <w:rPr>
                <w:rFonts w:eastAsiaTheme="minorEastAsia"/>
                <w:b/>
                <w:szCs w:val="24"/>
              </w:rPr>
            </w:pPr>
            <w:r>
              <w:rPr>
                <w:rFonts w:eastAsiaTheme="minorEastAsia"/>
                <w:szCs w:val="24"/>
              </w:rPr>
              <w:t>EO</w:t>
            </w:r>
            <w:r>
              <w:rPr>
                <w:rFonts w:hAnsiTheme="minorEastAsia" w:eastAsiaTheme="minorEastAsia"/>
                <w:szCs w:val="24"/>
              </w:rPr>
              <w:t>：</w:t>
            </w:r>
            <w:r>
              <w:rPr>
                <w:rFonts w:eastAsiaTheme="minorEastAsia"/>
                <w:szCs w:val="24"/>
              </w:rPr>
              <w:t>4.1</w:t>
            </w:r>
          </w:p>
        </w:tc>
        <w:tc>
          <w:tcPr>
            <w:tcW w:w="10734" w:type="dxa"/>
            <w:vAlign w:val="center"/>
          </w:tcPr>
          <w:p>
            <w:pPr>
              <w:spacing w:beforeLines="30" w:afterLines="30" w:line="288" w:lineRule="auto"/>
              <w:ind w:firstLine="420" w:firstLineChars="200"/>
              <w:rPr>
                <w:rFonts w:eastAsiaTheme="minorEastAsia"/>
                <w:color w:val="000000"/>
                <w:szCs w:val="24"/>
              </w:rPr>
            </w:pPr>
            <w:r>
              <w:rPr>
                <w:rFonts w:hAnsiTheme="minorEastAsia" w:eastAsiaTheme="minorEastAsia"/>
                <w:color w:val="000000"/>
                <w:szCs w:val="24"/>
              </w:rPr>
              <w:t>提供</w:t>
            </w:r>
            <w:r>
              <w:rPr>
                <w:rFonts w:eastAsiaTheme="minorEastAsia"/>
                <w:szCs w:val="24"/>
              </w:rPr>
              <w:t>JR-QEO-20</w:t>
            </w:r>
            <w:r>
              <w:rPr>
                <w:rFonts w:hint="eastAsia" w:eastAsiaTheme="minorEastAsia"/>
                <w:szCs w:val="24"/>
              </w:rPr>
              <w:t>20</w:t>
            </w:r>
            <w:r>
              <w:rPr>
                <w:rFonts w:hAnsiTheme="minorEastAsia" w:eastAsiaTheme="minorEastAsia"/>
                <w:color w:val="000000"/>
                <w:szCs w:val="24"/>
              </w:rPr>
              <w:t>《</w:t>
            </w:r>
            <w:r>
              <w:rPr>
                <w:rFonts w:hAnsiTheme="minorEastAsia" w:eastAsiaTheme="minorEastAsia"/>
                <w:szCs w:val="24"/>
              </w:rPr>
              <w:t>管理手册</w:t>
            </w:r>
            <w:r>
              <w:rPr>
                <w:rFonts w:hAnsiTheme="minorEastAsia" w:eastAsiaTheme="minorEastAsia"/>
                <w:color w:val="000000"/>
                <w:szCs w:val="24"/>
              </w:rPr>
              <w:t>》，对公司地理位置、国内市场地位、法律法规要求、公司内部文化观价值观、内外部环境变化等均作出描述。</w:t>
            </w:r>
            <w:r>
              <w:rPr>
                <w:rFonts w:eastAsiaTheme="minorEastAsia"/>
                <w:color w:val="000000"/>
                <w:szCs w:val="24"/>
              </w:rPr>
              <w:t xml:space="preserve"> </w:t>
            </w:r>
          </w:p>
          <w:p>
            <w:pPr>
              <w:spacing w:beforeLines="30" w:afterLines="30" w:line="288" w:lineRule="auto"/>
              <w:ind w:firstLine="420" w:firstLineChars="200"/>
              <w:rPr>
                <w:rFonts w:eastAsiaTheme="minorEastAsia"/>
                <w:szCs w:val="24"/>
              </w:rPr>
            </w:pPr>
            <w:r>
              <w:rPr>
                <w:rFonts w:hAnsiTheme="minorEastAsia" w:eastAsiaTheme="minorEastAsia"/>
                <w:color w:val="000000"/>
                <w:szCs w:val="24"/>
              </w:rPr>
              <w:t>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672" w:type="dxa"/>
            <w:vAlign w:val="center"/>
          </w:tcPr>
          <w:p>
            <w:pPr>
              <w:rPr>
                <w:rFonts w:eastAsiaTheme="minorEastAsia"/>
                <w:b/>
                <w:szCs w:val="24"/>
              </w:rPr>
            </w:pPr>
            <w:r>
              <w:rPr>
                <w:rFonts w:hAnsiTheme="minorEastAsia" w:eastAsiaTheme="minorEastAsia"/>
                <w:szCs w:val="24"/>
              </w:rPr>
              <w:t>理解相关方的需求和期望</w:t>
            </w:r>
          </w:p>
        </w:tc>
        <w:tc>
          <w:tcPr>
            <w:tcW w:w="1452" w:type="dxa"/>
            <w:vAlign w:val="center"/>
          </w:tcPr>
          <w:p>
            <w:pPr>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4.2</w:t>
            </w:r>
          </w:p>
        </w:tc>
        <w:tc>
          <w:tcPr>
            <w:tcW w:w="10734" w:type="dxa"/>
            <w:vAlign w:val="center"/>
          </w:tcPr>
          <w:p>
            <w:pPr>
              <w:spacing w:beforeLines="30" w:afterLines="30" w:line="288" w:lineRule="auto"/>
              <w:ind w:firstLine="420" w:firstLineChars="200"/>
              <w:jc w:val="left"/>
              <w:rPr>
                <w:rFonts w:eastAsiaTheme="minorEastAsia"/>
                <w:szCs w:val="24"/>
              </w:rPr>
            </w:pPr>
            <w:r>
              <w:rPr>
                <w:rFonts w:hAnsiTheme="minorEastAsia" w:eastAsiaTheme="minorEastAsia"/>
                <w:color w:val="000000"/>
                <w:szCs w:val="24"/>
              </w:rPr>
              <w:t>相关方包括顾客、股东、员工</w:t>
            </w:r>
            <w:r>
              <w:rPr>
                <w:rFonts w:hAnsiTheme="minorEastAsia" w:eastAsiaTheme="minorEastAsia"/>
                <w:szCs w:val="24"/>
              </w:rPr>
              <w:t>、供应商、竞争对手、社会团体、政府部门等。相关方期望和要求为价格、安全性、环保、合同协议、行业规范标准等。销售部门和相关职能部门通过日常例会、市场活动、现场拜访、产品展销会、客户调查等多种渠道和方式方法随时了解相关方的需求和期望。做为公司经营风险分析和发展机遇的可利用资源。</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672" w:type="dxa"/>
            <w:vAlign w:val="center"/>
          </w:tcPr>
          <w:p>
            <w:pPr>
              <w:rPr>
                <w:rFonts w:eastAsiaTheme="minorEastAsia"/>
                <w:szCs w:val="24"/>
              </w:rPr>
            </w:pPr>
            <w:r>
              <w:rPr>
                <w:rFonts w:hAnsiTheme="minorEastAsia" w:eastAsiaTheme="minorEastAsia"/>
                <w:szCs w:val="24"/>
              </w:rPr>
              <w:t>环境</w:t>
            </w:r>
            <w:r>
              <w:rPr>
                <w:rFonts w:eastAsiaTheme="minorEastAsia"/>
                <w:szCs w:val="24"/>
              </w:rPr>
              <w:t>/</w:t>
            </w:r>
            <w:r>
              <w:rPr>
                <w:rFonts w:hAnsiTheme="minorEastAsia" w:eastAsiaTheme="minorEastAsia"/>
                <w:szCs w:val="24"/>
              </w:rPr>
              <w:t>职业健康安全</w:t>
            </w:r>
            <w:r>
              <w:rPr>
                <w:rFonts w:eastAsiaTheme="minorEastAsia"/>
                <w:szCs w:val="24"/>
              </w:rPr>
              <w:t>/</w:t>
            </w:r>
            <w:r>
              <w:rPr>
                <w:rFonts w:hAnsiTheme="minorEastAsia" w:eastAsiaTheme="minorEastAsia"/>
                <w:szCs w:val="24"/>
              </w:rPr>
              <w:t>职业健康安全管理体系的范围</w:t>
            </w:r>
          </w:p>
        </w:tc>
        <w:tc>
          <w:tcPr>
            <w:tcW w:w="1452" w:type="dxa"/>
            <w:vAlign w:val="center"/>
          </w:tcPr>
          <w:p>
            <w:pPr>
              <w:spacing w:line="360" w:lineRule="auto"/>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 xml:space="preserve">4.3 </w:t>
            </w:r>
          </w:p>
        </w:tc>
        <w:tc>
          <w:tcPr>
            <w:tcW w:w="10734" w:type="dxa"/>
            <w:vAlign w:val="center"/>
          </w:tcPr>
          <w:p>
            <w:pPr>
              <w:spacing w:beforeLines="30" w:afterLines="30" w:line="288" w:lineRule="auto"/>
              <w:ind w:firstLine="420" w:firstLineChars="200"/>
              <w:jc w:val="left"/>
              <w:rPr>
                <w:rFonts w:eastAsiaTheme="minorEastAsia"/>
                <w:szCs w:val="24"/>
              </w:rPr>
            </w:pPr>
            <w:r>
              <w:rPr>
                <w:rFonts w:hAnsiTheme="minorEastAsia" w:eastAsiaTheme="minorEastAsia"/>
                <w:szCs w:val="24"/>
              </w:rPr>
              <w:t>经确认企业的管理体系范围是：</w:t>
            </w:r>
          </w:p>
          <w:p>
            <w:pPr>
              <w:spacing w:beforeLines="30" w:afterLines="30" w:line="288" w:lineRule="auto"/>
              <w:ind w:firstLine="420" w:firstLineChars="200"/>
              <w:rPr>
                <w:rFonts w:eastAsiaTheme="minorEastAsia"/>
                <w:szCs w:val="24"/>
              </w:rPr>
            </w:pPr>
            <w:r>
              <w:rPr>
                <w:rFonts w:eastAsiaTheme="minorEastAsia"/>
                <w:szCs w:val="24"/>
              </w:rPr>
              <w:t xml:space="preserve">EMS: </w:t>
            </w:r>
            <w:r>
              <w:rPr>
                <w:rFonts w:hAnsiTheme="minorEastAsia" w:eastAsiaTheme="minorEastAsia"/>
                <w:szCs w:val="24"/>
              </w:rPr>
              <w:t>许可范围内的石灰石开采、碎石加工及其所涉及的环境管理活动；</w:t>
            </w:r>
          </w:p>
          <w:p>
            <w:pPr>
              <w:spacing w:beforeLines="30" w:afterLines="30" w:line="288" w:lineRule="auto"/>
              <w:ind w:firstLine="420" w:firstLineChars="200"/>
              <w:rPr>
                <w:rFonts w:eastAsiaTheme="minorEastAsia"/>
                <w:szCs w:val="24"/>
              </w:rPr>
            </w:pPr>
            <w:r>
              <w:rPr>
                <w:rFonts w:eastAsiaTheme="minorEastAsia"/>
                <w:szCs w:val="24"/>
              </w:rPr>
              <w:t>OHSMS:</w:t>
            </w:r>
            <w:r>
              <w:rPr>
                <w:rFonts w:hAnsiTheme="minorEastAsia" w:eastAsiaTheme="minorEastAsia"/>
                <w:szCs w:val="24"/>
              </w:rPr>
              <w:t>许可范围内的石灰石开采、碎石加工及其所涉及的职业健康安全管理活动。</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72" w:type="dxa"/>
            <w:vAlign w:val="center"/>
          </w:tcPr>
          <w:p>
            <w:pPr>
              <w:ind w:firstLine="210" w:firstLineChars="100"/>
              <w:rPr>
                <w:rFonts w:eastAsiaTheme="minorEastAsia"/>
                <w:szCs w:val="24"/>
              </w:rPr>
            </w:pPr>
            <w:r>
              <w:rPr>
                <w:rFonts w:hAnsiTheme="minorEastAsia" w:eastAsiaTheme="minorEastAsia"/>
                <w:szCs w:val="24"/>
              </w:rPr>
              <w:t>环境</w:t>
            </w:r>
            <w:r>
              <w:rPr>
                <w:rFonts w:eastAsiaTheme="minorEastAsia"/>
                <w:szCs w:val="24"/>
              </w:rPr>
              <w:t>/</w:t>
            </w:r>
            <w:r>
              <w:rPr>
                <w:rFonts w:hAnsiTheme="minorEastAsia" w:eastAsiaTheme="minorEastAsia"/>
                <w:szCs w:val="24"/>
              </w:rPr>
              <w:t>职业健康安全管理体系及其过程</w:t>
            </w:r>
          </w:p>
        </w:tc>
        <w:tc>
          <w:tcPr>
            <w:tcW w:w="1452" w:type="dxa"/>
            <w:vAlign w:val="center"/>
          </w:tcPr>
          <w:p>
            <w:pPr>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 xml:space="preserve">4.4  </w:t>
            </w:r>
          </w:p>
        </w:tc>
        <w:tc>
          <w:tcPr>
            <w:tcW w:w="10734" w:type="dxa"/>
            <w:vAlign w:val="center"/>
          </w:tcPr>
          <w:p>
            <w:pPr>
              <w:spacing w:beforeLines="30" w:afterLines="30" w:line="288" w:lineRule="auto"/>
              <w:ind w:firstLine="420" w:firstLineChars="200"/>
              <w:rPr>
                <w:rFonts w:eastAsiaTheme="minorEastAsia"/>
                <w:szCs w:val="24"/>
              </w:rPr>
            </w:pPr>
            <w:r>
              <w:rPr>
                <w:rFonts w:hAnsiTheme="minorEastAsia" w:eastAsiaTheme="minorEastAsia"/>
                <w:szCs w:val="24"/>
              </w:rPr>
              <w:t>公司按照</w:t>
            </w:r>
            <w:r>
              <w:rPr>
                <w:rFonts w:eastAsiaTheme="minorEastAsia"/>
                <w:szCs w:val="24"/>
              </w:rPr>
              <w:t xml:space="preserve"> GB/T24001-2016 </w:t>
            </w:r>
            <w:r>
              <w:rPr>
                <w:rFonts w:hAnsiTheme="minorEastAsia" w:eastAsiaTheme="minorEastAsia"/>
                <w:szCs w:val="24"/>
              </w:rPr>
              <w:t>、</w:t>
            </w:r>
            <w:r>
              <w:rPr>
                <w:rFonts w:eastAsiaTheme="minorEastAsia"/>
                <w:szCs w:val="24"/>
              </w:rPr>
              <w:t xml:space="preserve">ISO45001:2018 </w:t>
            </w:r>
            <w:r>
              <w:rPr>
                <w:rFonts w:hAnsiTheme="minorEastAsia" w:eastAsiaTheme="minorEastAsia"/>
                <w:szCs w:val="24"/>
              </w:rPr>
              <w:t>标准的要求识别了环境</w:t>
            </w:r>
            <w:r>
              <w:rPr>
                <w:rFonts w:eastAsiaTheme="minorEastAsia"/>
                <w:szCs w:val="24"/>
              </w:rPr>
              <w:t>/</w:t>
            </w:r>
            <w:r>
              <w:rPr>
                <w:rFonts w:hAnsiTheme="minorEastAsia" w:eastAsiaTheme="minorEastAsia"/>
                <w:szCs w:val="24"/>
              </w:rPr>
              <w:t>职业健康安全管理所需的过程及相互作用，识别了环境、职业健康安全管理体系涉及的各个过程：</w:t>
            </w:r>
          </w:p>
          <w:p>
            <w:pPr>
              <w:spacing w:beforeLines="30" w:afterLines="30" w:line="288" w:lineRule="auto"/>
              <w:ind w:firstLine="420" w:firstLineChars="200"/>
              <w:rPr>
                <w:rFonts w:eastAsiaTheme="minorEastAsia"/>
                <w:szCs w:val="24"/>
              </w:rPr>
            </w:pPr>
            <w:r>
              <w:rPr>
                <w:rFonts w:hAnsiTheme="minorEastAsia" w:eastAsiaTheme="minorEastAsia"/>
                <w:szCs w:val="24"/>
              </w:rPr>
              <w:t>　　</w:t>
            </w:r>
            <w:r>
              <w:rPr>
                <w:rFonts w:eastAsiaTheme="minorEastAsia"/>
                <w:szCs w:val="24"/>
              </w:rPr>
              <w:t xml:space="preserve">a) </w:t>
            </w:r>
            <w:r>
              <w:rPr>
                <w:rFonts w:hAnsiTheme="minorEastAsia" w:eastAsiaTheme="minorEastAsia"/>
                <w:szCs w:val="24"/>
              </w:rPr>
              <w:t>确定这些过程所需的输入和期望的输出；</w:t>
            </w:r>
          </w:p>
          <w:p>
            <w:pPr>
              <w:spacing w:beforeLines="30" w:afterLines="30" w:line="288" w:lineRule="auto"/>
              <w:ind w:firstLine="420" w:firstLineChars="200"/>
              <w:rPr>
                <w:rFonts w:eastAsiaTheme="minorEastAsia"/>
                <w:szCs w:val="24"/>
              </w:rPr>
            </w:pPr>
            <w:r>
              <w:rPr>
                <w:rFonts w:hAnsiTheme="minorEastAsia" w:eastAsiaTheme="minorEastAsia"/>
                <w:szCs w:val="24"/>
              </w:rPr>
              <w:t>　　</w:t>
            </w:r>
            <w:r>
              <w:rPr>
                <w:rFonts w:eastAsiaTheme="minorEastAsia"/>
                <w:szCs w:val="24"/>
              </w:rPr>
              <w:t xml:space="preserve">b) </w:t>
            </w:r>
            <w:r>
              <w:rPr>
                <w:rFonts w:hAnsiTheme="minorEastAsia" w:eastAsiaTheme="minorEastAsia"/>
                <w:szCs w:val="24"/>
              </w:rPr>
              <w:t>确定这些过程的顺序和相互作用；</w:t>
            </w:r>
          </w:p>
          <w:p>
            <w:pPr>
              <w:spacing w:beforeLines="30" w:afterLines="30" w:line="288" w:lineRule="auto"/>
              <w:ind w:firstLine="420" w:firstLineChars="200"/>
              <w:rPr>
                <w:rFonts w:eastAsiaTheme="minorEastAsia"/>
                <w:szCs w:val="24"/>
              </w:rPr>
            </w:pPr>
            <w:r>
              <w:rPr>
                <w:rFonts w:hAnsiTheme="minorEastAsia" w:eastAsiaTheme="minorEastAsia"/>
                <w:szCs w:val="24"/>
              </w:rPr>
              <w:t>　　</w:t>
            </w:r>
            <w:r>
              <w:rPr>
                <w:rFonts w:eastAsiaTheme="minorEastAsia"/>
                <w:szCs w:val="24"/>
              </w:rPr>
              <w:t xml:space="preserve">c) </w:t>
            </w:r>
            <w:r>
              <w:rPr>
                <w:rFonts w:hAnsiTheme="minorEastAsia" w:eastAsiaTheme="minorEastAsia"/>
                <w:szCs w:val="24"/>
              </w:rPr>
              <w:t>建立了程序文件、管理制度、作业指导书、检验规程等明确了各个过程所需的准则和方法，并明确了目标。</w:t>
            </w:r>
          </w:p>
          <w:p>
            <w:pPr>
              <w:spacing w:beforeLines="30" w:afterLines="30" w:line="288" w:lineRule="auto"/>
              <w:ind w:firstLine="420" w:firstLineChars="200"/>
              <w:rPr>
                <w:rFonts w:eastAsiaTheme="minorEastAsia"/>
                <w:szCs w:val="24"/>
              </w:rPr>
            </w:pPr>
            <w:r>
              <w:rPr>
                <w:rFonts w:hAnsiTheme="minorEastAsia" w:eastAsiaTheme="minorEastAsia"/>
                <w:szCs w:val="24"/>
              </w:rPr>
              <w:t>　　</w:t>
            </w:r>
            <w:r>
              <w:rPr>
                <w:rFonts w:eastAsiaTheme="minorEastAsia"/>
                <w:szCs w:val="24"/>
              </w:rPr>
              <w:t xml:space="preserve">d) </w:t>
            </w:r>
            <w:r>
              <w:rPr>
                <w:rFonts w:hAnsiTheme="minorEastAsia" w:eastAsiaTheme="minorEastAsia"/>
                <w:szCs w:val="24"/>
              </w:rPr>
              <w:t>规定了每个过程所需的资源；</w:t>
            </w:r>
          </w:p>
          <w:p>
            <w:pPr>
              <w:spacing w:beforeLines="30" w:afterLines="30" w:line="288" w:lineRule="auto"/>
              <w:ind w:firstLine="420" w:firstLineChars="200"/>
              <w:rPr>
                <w:rFonts w:eastAsiaTheme="minorEastAsia"/>
                <w:szCs w:val="24"/>
              </w:rPr>
            </w:pPr>
            <w:r>
              <w:rPr>
                <w:rFonts w:hAnsiTheme="minorEastAsia" w:eastAsiaTheme="minorEastAsia"/>
                <w:szCs w:val="24"/>
              </w:rPr>
              <w:t>　　</w:t>
            </w:r>
            <w:r>
              <w:rPr>
                <w:rFonts w:eastAsiaTheme="minorEastAsia"/>
                <w:szCs w:val="24"/>
              </w:rPr>
              <w:t xml:space="preserve">e) </w:t>
            </w:r>
            <w:r>
              <w:rPr>
                <w:rFonts w:hAnsiTheme="minorEastAsia" w:eastAsiaTheme="minorEastAsia"/>
                <w:szCs w:val="24"/>
              </w:rPr>
              <w:t>规定与这些过程相关的责任和权限；</w:t>
            </w:r>
          </w:p>
          <w:p>
            <w:pPr>
              <w:spacing w:beforeLines="30" w:afterLines="30" w:line="288" w:lineRule="auto"/>
              <w:ind w:firstLine="420" w:firstLineChars="200"/>
              <w:rPr>
                <w:rFonts w:eastAsiaTheme="minorEastAsia"/>
                <w:szCs w:val="24"/>
              </w:rPr>
            </w:pPr>
            <w:r>
              <w:rPr>
                <w:rFonts w:hAnsiTheme="minorEastAsia" w:eastAsiaTheme="minorEastAsia"/>
                <w:szCs w:val="24"/>
              </w:rPr>
              <w:t>　</w:t>
            </w:r>
            <w:r>
              <w:rPr>
                <w:rFonts w:eastAsiaTheme="minorEastAsia"/>
                <w:szCs w:val="24"/>
              </w:rPr>
              <w:t xml:space="preserve">  f) </w:t>
            </w:r>
            <w:r>
              <w:rPr>
                <w:rFonts w:hAnsiTheme="minorEastAsia" w:eastAsiaTheme="minorEastAsia"/>
                <w:szCs w:val="24"/>
              </w:rPr>
              <w:t>针对这些过程识别和确定了管理活动的风险、机会以及所需的措施；</w:t>
            </w:r>
          </w:p>
          <w:p>
            <w:pPr>
              <w:spacing w:beforeLines="30" w:afterLines="30" w:line="288" w:lineRule="auto"/>
              <w:ind w:firstLine="420" w:firstLineChars="200"/>
              <w:rPr>
                <w:rFonts w:eastAsiaTheme="minorEastAsia"/>
                <w:szCs w:val="24"/>
              </w:rPr>
            </w:pPr>
            <w:r>
              <w:rPr>
                <w:rFonts w:eastAsiaTheme="minorEastAsia"/>
                <w:szCs w:val="24"/>
              </w:rPr>
              <w:t xml:space="preserve">g) </w:t>
            </w:r>
            <w:r>
              <w:rPr>
                <w:rFonts w:hAnsiTheme="minorEastAsia" w:eastAsiaTheme="minorEastAsia"/>
                <w:szCs w:val="24"/>
              </w:rPr>
              <w:t>对这些过程进行了评价，暂无所需的变更；</w:t>
            </w:r>
          </w:p>
          <w:p>
            <w:pPr>
              <w:spacing w:beforeLines="30" w:afterLines="30" w:line="288" w:lineRule="auto"/>
              <w:ind w:firstLine="420" w:firstLineChars="200"/>
              <w:rPr>
                <w:rFonts w:eastAsiaTheme="minorEastAsia"/>
                <w:szCs w:val="24"/>
              </w:rPr>
            </w:pPr>
            <w:r>
              <w:rPr>
                <w:rFonts w:eastAsiaTheme="minorEastAsia"/>
                <w:szCs w:val="24"/>
              </w:rPr>
              <w:t xml:space="preserve">h) </w:t>
            </w:r>
            <w:r>
              <w:rPr>
                <w:rFonts w:hAnsiTheme="minorEastAsia" w:eastAsiaTheme="minorEastAsia"/>
                <w:szCs w:val="24"/>
              </w:rPr>
              <w:t>公司通过绩效评价、内部审核、管理评审等以期对环境</w:t>
            </w:r>
            <w:r>
              <w:rPr>
                <w:rFonts w:eastAsiaTheme="minorEastAsia"/>
                <w:szCs w:val="24"/>
              </w:rPr>
              <w:t>/</w:t>
            </w:r>
            <w:r>
              <w:rPr>
                <w:rFonts w:hAnsiTheme="minorEastAsia" w:eastAsiaTheme="minorEastAsia"/>
                <w:szCs w:val="24"/>
              </w:rPr>
              <w:t>职业健康安全管理管理体系得到改进。</w:t>
            </w:r>
          </w:p>
          <w:p>
            <w:pPr>
              <w:spacing w:beforeLines="30" w:afterLines="30" w:line="288" w:lineRule="auto"/>
              <w:ind w:firstLine="420" w:firstLineChars="200"/>
              <w:rPr>
                <w:rFonts w:eastAsiaTheme="minorEastAsia"/>
                <w:szCs w:val="24"/>
              </w:rPr>
            </w:pPr>
            <w:r>
              <w:rPr>
                <w:rFonts w:hAnsiTheme="minorEastAsia" w:eastAsiaTheme="minorEastAsia"/>
                <w:szCs w:val="24"/>
              </w:rPr>
              <w:t>公司按照标准建立了文件化的环境</w:t>
            </w:r>
            <w:r>
              <w:rPr>
                <w:rFonts w:eastAsiaTheme="minorEastAsia"/>
                <w:szCs w:val="24"/>
              </w:rPr>
              <w:t>/</w:t>
            </w:r>
            <w:r>
              <w:rPr>
                <w:rFonts w:hAnsiTheme="minorEastAsia" w:eastAsiaTheme="minorEastAsia"/>
                <w:szCs w:val="24"/>
              </w:rPr>
              <w:t>职业健康安全管理体系，编制了环境</w:t>
            </w:r>
            <w:r>
              <w:rPr>
                <w:rFonts w:eastAsiaTheme="minorEastAsia"/>
                <w:szCs w:val="24"/>
              </w:rPr>
              <w:t>/</w:t>
            </w:r>
            <w:r>
              <w:rPr>
                <w:rFonts w:hAnsiTheme="minorEastAsia" w:eastAsiaTheme="minorEastAsia"/>
                <w:szCs w:val="24"/>
              </w:rPr>
              <w:t>职业健康安全手册，三层次文件和管理规定等；并对各个过程的监控进行了记录，形成了相关文件化信息，为过程运行提供了支持，以证实过程按照策划执行。</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72" w:type="dxa"/>
            <w:vAlign w:val="center"/>
          </w:tcPr>
          <w:p>
            <w:pPr>
              <w:rPr>
                <w:rFonts w:eastAsiaTheme="minorEastAsia"/>
                <w:szCs w:val="24"/>
              </w:rPr>
            </w:pPr>
            <w:r>
              <w:rPr>
                <w:rFonts w:hAnsiTheme="minorEastAsia" w:eastAsiaTheme="minorEastAsia"/>
                <w:szCs w:val="24"/>
              </w:rPr>
              <w:t>方针</w:t>
            </w:r>
          </w:p>
        </w:tc>
        <w:tc>
          <w:tcPr>
            <w:tcW w:w="1452" w:type="dxa"/>
            <w:vAlign w:val="center"/>
          </w:tcPr>
          <w:p>
            <w:pPr>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 xml:space="preserve">5.2 </w:t>
            </w:r>
          </w:p>
        </w:tc>
        <w:tc>
          <w:tcPr>
            <w:tcW w:w="10734" w:type="dxa"/>
            <w:vAlign w:val="center"/>
          </w:tcPr>
          <w:p>
            <w:pPr>
              <w:spacing w:beforeLines="30" w:afterLines="30" w:line="288" w:lineRule="auto"/>
              <w:ind w:firstLine="420" w:firstLineChars="200"/>
              <w:rPr>
                <w:rFonts w:eastAsiaTheme="minorEastAsia"/>
                <w:szCs w:val="24"/>
              </w:rPr>
            </w:pPr>
            <w:r>
              <w:rPr>
                <w:rFonts w:hAnsiTheme="minorEastAsia" w:eastAsiaTheme="minorEastAsia"/>
                <w:szCs w:val="24"/>
              </w:rPr>
              <w:t>企业已经制定环境、安全方针，具体包含在《管理手册》，</w:t>
            </w:r>
          </w:p>
          <w:p>
            <w:pPr>
              <w:tabs>
                <w:tab w:val="right" w:pos="8306"/>
              </w:tabs>
              <w:spacing w:beforeLines="30" w:afterLines="30" w:line="288" w:lineRule="auto"/>
              <w:ind w:firstLine="420" w:firstLineChars="200"/>
              <w:rPr>
                <w:rFonts w:eastAsiaTheme="minorEastAsia"/>
                <w:szCs w:val="24"/>
              </w:rPr>
            </w:pPr>
            <w:r>
              <w:rPr>
                <w:rFonts w:hAnsiTheme="minorEastAsia" w:eastAsiaTheme="minorEastAsia"/>
                <w:szCs w:val="24"/>
              </w:rPr>
              <w:t>公司的环境、职业健康安全方针是：遵守法律法规，确保产品质量，追求顾客满意</w:t>
            </w:r>
            <w:r>
              <w:rPr>
                <w:rFonts w:eastAsiaTheme="minorEastAsia"/>
                <w:szCs w:val="24"/>
              </w:rPr>
              <w:t>;</w:t>
            </w:r>
            <w:r>
              <w:rPr>
                <w:rFonts w:hAnsiTheme="minorEastAsia" w:eastAsiaTheme="minorEastAsia"/>
                <w:szCs w:val="24"/>
              </w:rPr>
              <w:t>预防环境污染</w:t>
            </w:r>
            <w:r>
              <w:rPr>
                <w:rFonts w:eastAsiaTheme="minorEastAsia"/>
                <w:szCs w:val="24"/>
              </w:rPr>
              <w:t>,</w:t>
            </w:r>
            <w:r>
              <w:rPr>
                <w:rFonts w:hAnsiTheme="minorEastAsia" w:eastAsiaTheme="minorEastAsia"/>
                <w:szCs w:val="24"/>
              </w:rPr>
              <w:t>控制安全风险</w:t>
            </w:r>
            <w:r>
              <w:rPr>
                <w:rFonts w:eastAsiaTheme="minorEastAsia"/>
                <w:szCs w:val="24"/>
              </w:rPr>
              <w:t xml:space="preserve">  </w:t>
            </w:r>
            <w:r>
              <w:rPr>
                <w:rFonts w:hAnsiTheme="minorEastAsia" w:eastAsiaTheme="minorEastAsia"/>
                <w:szCs w:val="24"/>
              </w:rPr>
              <w:t>实施持续改进。</w:t>
            </w:r>
          </w:p>
          <w:p>
            <w:pPr>
              <w:spacing w:beforeLines="30" w:afterLines="30" w:line="288" w:lineRule="auto"/>
              <w:ind w:firstLine="420" w:firstLineChars="200"/>
              <w:rPr>
                <w:rFonts w:eastAsiaTheme="minorEastAsia"/>
                <w:szCs w:val="24"/>
              </w:rPr>
            </w:pPr>
            <w:r>
              <w:rPr>
                <w:rFonts w:hAnsiTheme="minorEastAsia" w:eastAsiaTheme="minorEastAsia"/>
                <w:szCs w:val="24"/>
              </w:rPr>
              <w:t>查领导层参与制定管理体系方针的情况，是否熟悉组织的管理体系方针内容、含义，</w:t>
            </w:r>
          </w:p>
          <w:p>
            <w:pPr>
              <w:spacing w:beforeLines="30" w:afterLines="30" w:line="288" w:lineRule="auto"/>
              <w:ind w:firstLine="420" w:firstLineChars="200"/>
              <w:rPr>
                <w:rFonts w:eastAsiaTheme="minorEastAsia"/>
                <w:szCs w:val="24"/>
              </w:rPr>
            </w:pPr>
            <w:r>
              <w:rPr>
                <w:rFonts w:hAnsiTheme="minorEastAsia" w:eastAsiaTheme="minorEastAsia"/>
                <w:szCs w:val="24"/>
              </w:rPr>
              <w:t>总经理</w:t>
            </w:r>
            <w:r>
              <w:rPr>
                <w:rFonts w:eastAsiaTheme="minorEastAsia"/>
                <w:szCs w:val="24"/>
              </w:rPr>
              <w:t>:</w:t>
            </w:r>
            <w:r>
              <w:rPr>
                <w:rFonts w:hAnsiTheme="minorEastAsia" w:eastAsiaTheme="minorEastAsia"/>
                <w:szCs w:val="24"/>
              </w:rPr>
              <w:t>周文明；管代：朱怀明，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72" w:type="dxa"/>
            <w:vAlign w:val="center"/>
          </w:tcPr>
          <w:p>
            <w:pPr>
              <w:rPr>
                <w:rFonts w:eastAsiaTheme="minorEastAsia"/>
                <w:szCs w:val="24"/>
              </w:rPr>
            </w:pPr>
            <w:r>
              <w:rPr>
                <w:rFonts w:hAnsiTheme="minorEastAsia" w:eastAsiaTheme="minorEastAsia"/>
                <w:szCs w:val="24"/>
              </w:rPr>
              <w:t>组织的角色、职责和权限</w:t>
            </w:r>
          </w:p>
        </w:tc>
        <w:tc>
          <w:tcPr>
            <w:tcW w:w="1452" w:type="dxa"/>
            <w:vAlign w:val="center"/>
          </w:tcPr>
          <w:p>
            <w:pPr>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 xml:space="preserve">5.3  </w:t>
            </w:r>
          </w:p>
        </w:tc>
        <w:tc>
          <w:tcPr>
            <w:tcW w:w="10734" w:type="dxa"/>
            <w:vAlign w:val="center"/>
          </w:tcPr>
          <w:p>
            <w:pPr>
              <w:spacing w:beforeLines="30" w:afterLines="30" w:line="288" w:lineRule="auto"/>
              <w:ind w:firstLine="420" w:firstLineChars="200"/>
              <w:rPr>
                <w:rFonts w:eastAsiaTheme="minorEastAsia"/>
                <w:szCs w:val="24"/>
              </w:rPr>
            </w:pPr>
            <w:r>
              <w:rPr>
                <w:rFonts w:hAnsiTheme="minorEastAsia" w:eastAsiaTheme="minorEastAsia"/>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72" w:type="dxa"/>
            <w:vAlign w:val="center"/>
          </w:tcPr>
          <w:p>
            <w:pPr>
              <w:rPr>
                <w:rFonts w:eastAsiaTheme="minorEastAsia"/>
                <w:szCs w:val="24"/>
              </w:rPr>
            </w:pPr>
            <w:r>
              <w:rPr>
                <w:rFonts w:hAnsiTheme="minorEastAsia" w:eastAsiaTheme="minorEastAsia"/>
                <w:szCs w:val="24"/>
              </w:rPr>
              <w:t>应对风险和机会的措施</w:t>
            </w:r>
          </w:p>
        </w:tc>
        <w:tc>
          <w:tcPr>
            <w:tcW w:w="1452" w:type="dxa"/>
            <w:vAlign w:val="center"/>
          </w:tcPr>
          <w:p>
            <w:pPr>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 xml:space="preserve"> 6.1.1</w:t>
            </w:r>
          </w:p>
        </w:tc>
        <w:tc>
          <w:tcPr>
            <w:tcW w:w="10734" w:type="dxa"/>
            <w:vAlign w:val="center"/>
          </w:tcPr>
          <w:p>
            <w:pPr>
              <w:spacing w:beforeLines="30" w:afterLines="30" w:line="288" w:lineRule="auto"/>
              <w:ind w:firstLine="420" w:firstLineChars="200"/>
              <w:rPr>
                <w:rFonts w:eastAsiaTheme="minorEastAsia"/>
                <w:szCs w:val="24"/>
              </w:rPr>
            </w:pPr>
            <w:r>
              <w:rPr>
                <w:rFonts w:hAnsiTheme="minorEastAsia" w:eastAsiaTheme="minorEastAsia"/>
                <w:szCs w:val="24"/>
              </w:rPr>
              <w:t>编制有《应对风险和机遇的措施控制程序</w:t>
            </w:r>
            <w:r>
              <w:rPr>
                <w:rFonts w:eastAsiaTheme="minorEastAsia"/>
                <w:szCs w:val="24"/>
              </w:rPr>
              <w:t>JR-QP-01</w:t>
            </w:r>
            <w:r>
              <w:rPr>
                <w:rFonts w:hAnsiTheme="minorEastAsia" w:eastAsiaTheme="minorEastAsia"/>
                <w:szCs w:val="24"/>
              </w:rPr>
              <w:t>》，对组织内外的风险和机遇进行了策划。提供《风险和机遇识别及应对措施表》，识别了风险和机遇来源（内部</w:t>
            </w:r>
            <w:r>
              <w:rPr>
                <w:rFonts w:eastAsiaTheme="minorEastAsia"/>
                <w:szCs w:val="24"/>
              </w:rPr>
              <w:t>/</w:t>
            </w:r>
            <w:r>
              <w:rPr>
                <w:rFonts w:hAnsiTheme="minorEastAsia" w:eastAsiaTheme="minorEastAsia"/>
                <w:szCs w:val="24"/>
              </w:rPr>
              <w:t>外部）、风险和机遇内容、应对措施、责任部门</w:t>
            </w:r>
            <w:r>
              <w:rPr>
                <w:rFonts w:eastAsiaTheme="minorEastAsia"/>
                <w:szCs w:val="24"/>
              </w:rPr>
              <w:t>/</w:t>
            </w:r>
            <w:r>
              <w:rPr>
                <w:rFonts w:hAnsiTheme="minorEastAsia" w:eastAsiaTheme="minorEastAsia"/>
                <w:szCs w:val="24"/>
              </w:rPr>
              <w:t>人、实施时间等：</w:t>
            </w:r>
          </w:p>
          <w:p>
            <w:pPr>
              <w:spacing w:beforeLines="30" w:afterLines="30" w:line="288" w:lineRule="auto"/>
              <w:ind w:firstLine="420" w:firstLineChars="200"/>
              <w:jc w:val="left"/>
              <w:rPr>
                <w:rFonts w:eastAsiaTheme="minorEastAsia"/>
                <w:szCs w:val="24"/>
              </w:rPr>
            </w:pPr>
            <w:r>
              <w:rPr>
                <w:rFonts w:hAnsiTheme="minorEastAsia" w:eastAsiaTheme="minorEastAsia"/>
                <w:szCs w:val="24"/>
              </w:rPr>
              <w:t>风险、机遇：</w:t>
            </w:r>
            <w:r>
              <w:rPr>
                <w:rFonts w:eastAsiaTheme="minorEastAsia"/>
                <w:szCs w:val="24"/>
              </w:rPr>
              <w:t xml:space="preserve"> </w:t>
            </w:r>
            <w:r>
              <w:rPr>
                <w:rFonts w:hAnsiTheme="minorEastAsia" w:eastAsiaTheme="minorEastAsia"/>
                <w:szCs w:val="24"/>
              </w:rPr>
              <w:t>法律、法规内容的变化，行业标准的变化，客户的需求，供应商的要求，新领域、新设备、新工艺，公司市场占有率、市场领先趋势、顾客增长趋势，市场容量，竞争力，价格风险，原材料、供应渠道，主要销售区域消费习惯，本地失业率，安全感，教育水平，公共假日，工作时间，管理流程，生产能力，费用支付，资金回收，人员的流动，员工业务素质，绩效考核，基础设施管理，公司运行环境等方面进行分析评估，确定风险和机遇。应对措施：与风险、机遇相适应。</w:t>
            </w:r>
          </w:p>
          <w:p>
            <w:pPr>
              <w:spacing w:beforeLines="30" w:afterLines="30" w:line="288" w:lineRule="auto"/>
              <w:ind w:firstLine="420" w:firstLineChars="200"/>
              <w:jc w:val="left"/>
              <w:rPr>
                <w:rFonts w:eastAsiaTheme="minorEastAsia"/>
                <w:szCs w:val="24"/>
              </w:rPr>
            </w:pPr>
            <w:r>
              <w:rPr>
                <w:rFonts w:hAnsiTheme="minorEastAsia" w:eastAsiaTheme="minorEastAsia"/>
                <w:szCs w:val="24"/>
              </w:rPr>
              <w:t>编制人：朱怀明</w:t>
            </w:r>
            <w:r>
              <w:rPr>
                <w:rFonts w:eastAsiaTheme="minorEastAsia"/>
                <w:szCs w:val="24"/>
              </w:rPr>
              <w:t xml:space="preserve"> 20</w:t>
            </w:r>
            <w:r>
              <w:rPr>
                <w:rFonts w:hint="eastAsia" w:eastAsiaTheme="minorEastAsia"/>
                <w:szCs w:val="24"/>
              </w:rPr>
              <w:t>2</w:t>
            </w:r>
            <w:r>
              <w:rPr>
                <w:rFonts w:hint="eastAsia" w:eastAsiaTheme="minorEastAsia"/>
                <w:szCs w:val="24"/>
                <w:lang w:val="en-US" w:eastAsia="zh-CN"/>
              </w:rPr>
              <w:t>1</w:t>
            </w:r>
            <w:r>
              <w:rPr>
                <w:rFonts w:eastAsiaTheme="minorEastAsia"/>
                <w:szCs w:val="24"/>
              </w:rPr>
              <w:t>. 6.2</w:t>
            </w:r>
            <w:r>
              <w:rPr>
                <w:rFonts w:hint="eastAsia" w:eastAsiaTheme="minorEastAsia"/>
                <w:szCs w:val="24"/>
              </w:rPr>
              <w:t>0</w:t>
            </w:r>
            <w:r>
              <w:rPr>
                <w:rFonts w:hAnsiTheme="minorEastAsia" w:eastAsiaTheme="minorEastAsia"/>
                <w:szCs w:val="24"/>
              </w:rPr>
              <w:t>日，审核：周文明</w:t>
            </w:r>
            <w:r>
              <w:rPr>
                <w:rFonts w:eastAsiaTheme="minorEastAsia"/>
                <w:szCs w:val="24"/>
              </w:rPr>
              <w:t>20</w:t>
            </w:r>
            <w:r>
              <w:rPr>
                <w:rFonts w:hint="eastAsia" w:eastAsiaTheme="minorEastAsia"/>
                <w:szCs w:val="24"/>
              </w:rPr>
              <w:t>2</w:t>
            </w:r>
            <w:r>
              <w:rPr>
                <w:rFonts w:hint="eastAsia" w:eastAsiaTheme="minorEastAsia"/>
                <w:szCs w:val="24"/>
                <w:lang w:val="en-US" w:eastAsia="zh-CN"/>
              </w:rPr>
              <w:t>1</w:t>
            </w:r>
            <w:r>
              <w:rPr>
                <w:rFonts w:eastAsiaTheme="minorEastAsia"/>
                <w:szCs w:val="24"/>
              </w:rPr>
              <w:t>. 6.2</w:t>
            </w:r>
            <w:r>
              <w:rPr>
                <w:rFonts w:hint="eastAsia" w:eastAsiaTheme="minorEastAsia"/>
                <w:szCs w:val="24"/>
              </w:rPr>
              <w:t>0</w:t>
            </w:r>
            <w:r>
              <w:rPr>
                <w:rFonts w:hAnsiTheme="minorEastAsia" w:eastAsiaTheme="minorEastAsia"/>
                <w:szCs w:val="24"/>
              </w:rPr>
              <w:t>日。</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72" w:type="dxa"/>
            <w:vAlign w:val="center"/>
          </w:tcPr>
          <w:p>
            <w:pPr>
              <w:rPr>
                <w:rFonts w:eastAsiaTheme="minorEastAsia"/>
                <w:szCs w:val="24"/>
              </w:rPr>
            </w:pPr>
            <w:r>
              <w:rPr>
                <w:rFonts w:hAnsiTheme="minorEastAsia" w:eastAsiaTheme="minorEastAsia"/>
                <w:szCs w:val="24"/>
              </w:rPr>
              <w:t>目标和措施计划（管理方案）</w:t>
            </w:r>
          </w:p>
        </w:tc>
        <w:tc>
          <w:tcPr>
            <w:tcW w:w="1452" w:type="dxa"/>
            <w:vAlign w:val="center"/>
          </w:tcPr>
          <w:p>
            <w:pPr>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 xml:space="preserve">6.2  </w:t>
            </w:r>
          </w:p>
        </w:tc>
        <w:tc>
          <w:tcPr>
            <w:tcW w:w="10734" w:type="dxa"/>
            <w:vAlign w:val="center"/>
          </w:tcPr>
          <w:p>
            <w:pPr>
              <w:spacing w:beforeLines="30" w:afterLines="30" w:line="288" w:lineRule="auto"/>
              <w:ind w:firstLine="420" w:firstLineChars="200"/>
              <w:rPr>
                <w:rFonts w:eastAsiaTheme="minorEastAsia"/>
                <w:szCs w:val="24"/>
              </w:rPr>
            </w:pPr>
            <w:r>
              <w:rPr>
                <w:rFonts w:hAnsiTheme="minorEastAsia" w:eastAsiaTheme="minor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20" w:firstLineChars="200"/>
              <w:rPr>
                <w:rFonts w:eastAsiaTheme="minorEastAsia"/>
                <w:szCs w:val="24"/>
              </w:rPr>
            </w:pPr>
            <w:r>
              <w:rPr>
                <w:rFonts w:hAnsiTheme="minorEastAsia" w:eastAsiaTheme="minorEastAsia"/>
                <w:szCs w:val="24"/>
              </w:rPr>
              <w:t>环境目标：</w:t>
            </w:r>
          </w:p>
          <w:p>
            <w:pPr>
              <w:spacing w:beforeLines="30" w:afterLines="30" w:line="288" w:lineRule="auto"/>
              <w:ind w:firstLine="420" w:firstLineChars="200"/>
              <w:rPr>
                <w:rFonts w:eastAsiaTheme="minorEastAsia"/>
                <w:szCs w:val="24"/>
              </w:rPr>
            </w:pPr>
            <w:r>
              <w:rPr>
                <w:rFonts w:eastAsiaTheme="minorEastAsia"/>
                <w:szCs w:val="24"/>
              </w:rPr>
              <w:t>a)</w:t>
            </w:r>
            <w:r>
              <w:rPr>
                <w:rFonts w:hAnsiTheme="minorEastAsia" w:eastAsiaTheme="minorEastAsia"/>
                <w:szCs w:val="24"/>
              </w:rPr>
              <w:t>废气、废水及噪声达标排放</w:t>
            </w:r>
            <w:r>
              <w:rPr>
                <w:rFonts w:eastAsiaTheme="minorEastAsia"/>
                <w:szCs w:val="24"/>
              </w:rPr>
              <w:t>; b)</w:t>
            </w:r>
            <w:r>
              <w:rPr>
                <w:rFonts w:hAnsiTheme="minorEastAsia" w:eastAsiaTheme="minorEastAsia"/>
                <w:szCs w:val="24"/>
              </w:rPr>
              <w:t>防止火灾事故的发生，火灾事故</w:t>
            </w:r>
            <w:r>
              <w:rPr>
                <w:rFonts w:eastAsiaTheme="minorEastAsia"/>
                <w:szCs w:val="24"/>
              </w:rPr>
              <w:t>0</w:t>
            </w:r>
            <w:r>
              <w:rPr>
                <w:rFonts w:hAnsiTheme="minorEastAsia" w:eastAsiaTheme="minorEastAsia"/>
                <w:szCs w:val="24"/>
              </w:rPr>
              <w:t>；</w:t>
            </w:r>
          </w:p>
          <w:p>
            <w:pPr>
              <w:spacing w:beforeLines="30" w:afterLines="30" w:line="288" w:lineRule="auto"/>
              <w:ind w:firstLine="420" w:firstLineChars="200"/>
              <w:rPr>
                <w:rFonts w:eastAsiaTheme="minorEastAsia"/>
                <w:szCs w:val="24"/>
              </w:rPr>
            </w:pPr>
            <w:r>
              <w:rPr>
                <w:rFonts w:hAnsiTheme="minorEastAsia" w:eastAsiaTheme="minorEastAsia"/>
                <w:szCs w:val="24"/>
              </w:rPr>
              <w:t>职业健康安全目标：</w:t>
            </w:r>
          </w:p>
          <w:p>
            <w:pPr>
              <w:spacing w:beforeLines="30" w:afterLines="30" w:line="288" w:lineRule="auto"/>
              <w:ind w:firstLine="420" w:firstLineChars="200"/>
              <w:outlineLvl w:val="0"/>
              <w:rPr>
                <w:rFonts w:eastAsiaTheme="minorEastAsia"/>
                <w:szCs w:val="24"/>
              </w:rPr>
            </w:pPr>
            <w:r>
              <w:rPr>
                <w:rFonts w:eastAsiaTheme="minorEastAsia"/>
                <w:szCs w:val="24"/>
              </w:rPr>
              <w:t>a)</w:t>
            </w:r>
            <w:r>
              <w:rPr>
                <w:rFonts w:hAnsiTheme="minorEastAsia" w:eastAsiaTheme="minorEastAsia"/>
                <w:szCs w:val="24"/>
              </w:rPr>
              <w:t>人身死亡事故为</w:t>
            </w:r>
            <w:r>
              <w:rPr>
                <w:rFonts w:eastAsiaTheme="minorEastAsia"/>
                <w:szCs w:val="24"/>
              </w:rPr>
              <w:t>0</w:t>
            </w:r>
            <w:r>
              <w:rPr>
                <w:rFonts w:hAnsiTheme="minorEastAsia" w:eastAsiaTheme="minorEastAsia"/>
                <w:szCs w:val="24"/>
              </w:rPr>
              <w:t>；</w:t>
            </w:r>
            <w:r>
              <w:rPr>
                <w:rFonts w:eastAsiaTheme="minorEastAsia"/>
                <w:szCs w:val="24"/>
              </w:rPr>
              <w:t>b)</w:t>
            </w:r>
            <w:r>
              <w:rPr>
                <w:rFonts w:hAnsiTheme="minorEastAsia" w:eastAsiaTheme="minorEastAsia"/>
                <w:szCs w:val="24"/>
              </w:rPr>
              <w:t>重伤事故为</w:t>
            </w:r>
            <w:r>
              <w:rPr>
                <w:rFonts w:eastAsiaTheme="minorEastAsia"/>
                <w:szCs w:val="24"/>
              </w:rPr>
              <w:t>0</w:t>
            </w:r>
            <w:r>
              <w:rPr>
                <w:rFonts w:hAnsiTheme="minorEastAsia" w:eastAsiaTheme="minorEastAsia"/>
                <w:szCs w:val="24"/>
              </w:rPr>
              <w:t>；</w:t>
            </w:r>
            <w:r>
              <w:rPr>
                <w:rFonts w:eastAsiaTheme="minorEastAsia"/>
                <w:szCs w:val="24"/>
              </w:rPr>
              <w:t>c)</w:t>
            </w:r>
            <w:r>
              <w:rPr>
                <w:rFonts w:hAnsiTheme="minorEastAsia" w:eastAsiaTheme="minorEastAsia"/>
                <w:szCs w:val="24"/>
              </w:rPr>
              <w:t>轻伤事故</w:t>
            </w:r>
            <w:r>
              <w:rPr>
                <w:rFonts w:eastAsiaTheme="minorEastAsia"/>
                <w:szCs w:val="24"/>
              </w:rPr>
              <w:t>≤3‰;d)</w:t>
            </w:r>
            <w:r>
              <w:rPr>
                <w:rFonts w:hAnsiTheme="minorEastAsia" w:eastAsiaTheme="minorEastAsia"/>
                <w:szCs w:val="24"/>
              </w:rPr>
              <w:t>火灾事故为</w:t>
            </w:r>
            <w:r>
              <w:rPr>
                <w:rFonts w:eastAsiaTheme="minorEastAsia"/>
                <w:szCs w:val="24"/>
              </w:rPr>
              <w:t>0</w:t>
            </w:r>
            <w:r>
              <w:rPr>
                <w:rFonts w:hAnsiTheme="minorEastAsia" w:eastAsiaTheme="minorEastAsia"/>
                <w:szCs w:val="24"/>
              </w:rPr>
              <w:t>；</w:t>
            </w:r>
          </w:p>
          <w:p>
            <w:pPr>
              <w:spacing w:beforeLines="30" w:afterLines="30" w:line="288" w:lineRule="auto"/>
              <w:ind w:firstLine="420" w:firstLineChars="200"/>
              <w:rPr>
                <w:rFonts w:eastAsiaTheme="minorEastAsia"/>
                <w:szCs w:val="24"/>
              </w:rPr>
            </w:pPr>
            <w:r>
              <w:rPr>
                <w:rFonts w:hAnsiTheme="minorEastAsia" w:eastAsiaTheme="minorEastAsia"/>
                <w:szCs w:val="24"/>
              </w:rPr>
              <w:t>组织对公司环境、职业健康安全目标、指标予以分解，并在相关职能层次部门建立分目标。</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672" w:type="dxa"/>
            <w:vAlign w:val="center"/>
          </w:tcPr>
          <w:p>
            <w:pPr>
              <w:rPr>
                <w:rFonts w:eastAsiaTheme="minorEastAsia"/>
                <w:szCs w:val="24"/>
              </w:rPr>
            </w:pPr>
            <w:r>
              <w:rPr>
                <w:rFonts w:hAnsiTheme="minorEastAsia" w:eastAsiaTheme="minorEastAsia"/>
                <w:szCs w:val="24"/>
              </w:rPr>
              <w:t>目标和措施计划（管理方案）</w:t>
            </w:r>
          </w:p>
        </w:tc>
        <w:tc>
          <w:tcPr>
            <w:tcW w:w="1452" w:type="dxa"/>
            <w:vAlign w:val="center"/>
          </w:tcPr>
          <w:p>
            <w:pPr>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 xml:space="preserve">6.2  </w:t>
            </w:r>
          </w:p>
        </w:tc>
        <w:tc>
          <w:tcPr>
            <w:tcW w:w="1073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查见《环境目标指标管理方案》，</w:t>
            </w:r>
          </w:p>
          <w:tbl>
            <w:tblPr>
              <w:tblStyle w:val="7"/>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797"/>
              <w:gridCol w:w="815"/>
              <w:gridCol w:w="1238"/>
              <w:gridCol w:w="2032"/>
              <w:gridCol w:w="620"/>
              <w:gridCol w:w="717"/>
              <w:gridCol w:w="541"/>
              <w:gridCol w:w="838"/>
              <w:gridCol w:w="83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41" w:type="dxa"/>
                  <w:vAlign w:val="center"/>
                </w:tcPr>
                <w:p>
                  <w:pPr>
                    <w:spacing w:line="240" w:lineRule="exact"/>
                    <w:rPr>
                      <w:sz w:val="20"/>
                    </w:rPr>
                  </w:pPr>
                  <w:r>
                    <w:rPr>
                      <w:rFonts w:hint="eastAsia"/>
                      <w:sz w:val="20"/>
                    </w:rPr>
                    <w:t>序号</w:t>
                  </w:r>
                </w:p>
              </w:tc>
              <w:tc>
                <w:tcPr>
                  <w:tcW w:w="797" w:type="dxa"/>
                  <w:vAlign w:val="center"/>
                </w:tcPr>
                <w:p>
                  <w:pPr>
                    <w:spacing w:line="240" w:lineRule="exact"/>
                    <w:rPr>
                      <w:sz w:val="20"/>
                    </w:rPr>
                  </w:pPr>
                  <w:r>
                    <w:rPr>
                      <w:rFonts w:hint="eastAsia"/>
                      <w:sz w:val="20"/>
                    </w:rPr>
                    <w:t>管理方案名称</w:t>
                  </w:r>
                </w:p>
              </w:tc>
              <w:tc>
                <w:tcPr>
                  <w:tcW w:w="815" w:type="dxa"/>
                  <w:vAlign w:val="center"/>
                </w:tcPr>
                <w:p>
                  <w:pPr>
                    <w:spacing w:line="240" w:lineRule="exact"/>
                    <w:rPr>
                      <w:sz w:val="20"/>
                    </w:rPr>
                  </w:pPr>
                  <w:r>
                    <w:rPr>
                      <w:rFonts w:hint="eastAsia"/>
                      <w:sz w:val="20"/>
                    </w:rPr>
                    <w:t>目标</w:t>
                  </w:r>
                </w:p>
              </w:tc>
              <w:tc>
                <w:tcPr>
                  <w:tcW w:w="1238" w:type="dxa"/>
                  <w:vAlign w:val="center"/>
                </w:tcPr>
                <w:p>
                  <w:pPr>
                    <w:spacing w:line="240" w:lineRule="exact"/>
                    <w:rPr>
                      <w:sz w:val="20"/>
                    </w:rPr>
                  </w:pPr>
                  <w:r>
                    <w:rPr>
                      <w:rFonts w:hint="eastAsia"/>
                      <w:sz w:val="20"/>
                    </w:rPr>
                    <w:t>指标</w:t>
                  </w:r>
                </w:p>
              </w:tc>
              <w:tc>
                <w:tcPr>
                  <w:tcW w:w="2032" w:type="dxa"/>
                  <w:vAlign w:val="center"/>
                </w:tcPr>
                <w:p>
                  <w:pPr>
                    <w:spacing w:line="240" w:lineRule="exact"/>
                    <w:rPr>
                      <w:sz w:val="20"/>
                    </w:rPr>
                  </w:pPr>
                  <w:r>
                    <w:rPr>
                      <w:rFonts w:hint="eastAsia"/>
                      <w:sz w:val="20"/>
                    </w:rPr>
                    <w:t>方法、措施</w:t>
                  </w:r>
                </w:p>
              </w:tc>
              <w:tc>
                <w:tcPr>
                  <w:tcW w:w="620" w:type="dxa"/>
                  <w:vAlign w:val="center"/>
                </w:tcPr>
                <w:p>
                  <w:pPr>
                    <w:spacing w:line="240" w:lineRule="exact"/>
                    <w:rPr>
                      <w:sz w:val="20"/>
                    </w:rPr>
                  </w:pPr>
                  <w:r>
                    <w:rPr>
                      <w:rFonts w:hint="eastAsia"/>
                      <w:sz w:val="20"/>
                    </w:rPr>
                    <w:t>执行部门</w:t>
                  </w:r>
                </w:p>
              </w:tc>
              <w:tc>
                <w:tcPr>
                  <w:tcW w:w="717" w:type="dxa"/>
                  <w:vAlign w:val="center"/>
                </w:tcPr>
                <w:p>
                  <w:pPr>
                    <w:spacing w:line="240" w:lineRule="exact"/>
                    <w:rPr>
                      <w:sz w:val="20"/>
                    </w:rPr>
                  </w:pPr>
                  <w:r>
                    <w:rPr>
                      <w:rFonts w:hint="eastAsia"/>
                      <w:sz w:val="20"/>
                    </w:rPr>
                    <w:t>负责人</w:t>
                  </w:r>
                </w:p>
              </w:tc>
              <w:tc>
                <w:tcPr>
                  <w:tcW w:w="541" w:type="dxa"/>
                  <w:vAlign w:val="center"/>
                </w:tcPr>
                <w:p>
                  <w:pPr>
                    <w:spacing w:line="240" w:lineRule="exact"/>
                    <w:rPr>
                      <w:sz w:val="20"/>
                    </w:rPr>
                  </w:pPr>
                  <w:r>
                    <w:rPr>
                      <w:rFonts w:hint="eastAsia"/>
                      <w:sz w:val="20"/>
                    </w:rPr>
                    <w:t>预算</w:t>
                  </w:r>
                </w:p>
              </w:tc>
              <w:tc>
                <w:tcPr>
                  <w:tcW w:w="838" w:type="dxa"/>
                  <w:vAlign w:val="center"/>
                </w:tcPr>
                <w:p>
                  <w:pPr>
                    <w:spacing w:line="240" w:lineRule="exact"/>
                    <w:rPr>
                      <w:sz w:val="20"/>
                    </w:rPr>
                  </w:pPr>
                  <w:r>
                    <w:rPr>
                      <w:rFonts w:hint="eastAsia"/>
                      <w:sz w:val="20"/>
                    </w:rPr>
                    <w:t>启动日期</w:t>
                  </w:r>
                </w:p>
              </w:tc>
              <w:tc>
                <w:tcPr>
                  <w:tcW w:w="838" w:type="dxa"/>
                  <w:vAlign w:val="center"/>
                </w:tcPr>
                <w:p>
                  <w:pPr>
                    <w:spacing w:line="240" w:lineRule="exact"/>
                    <w:rPr>
                      <w:sz w:val="20"/>
                    </w:rPr>
                  </w:pPr>
                  <w:r>
                    <w:rPr>
                      <w:rFonts w:hint="eastAsia"/>
                      <w:sz w:val="20"/>
                    </w:rPr>
                    <w:t>完成日期</w:t>
                  </w:r>
                </w:p>
              </w:tc>
              <w:tc>
                <w:tcPr>
                  <w:tcW w:w="762" w:type="dxa"/>
                  <w:vAlign w:val="center"/>
                </w:tcPr>
                <w:p>
                  <w:pPr>
                    <w:spacing w:line="240" w:lineRule="exact"/>
                    <w:rPr>
                      <w:sz w:val="20"/>
                    </w:rPr>
                  </w:pPr>
                  <w:r>
                    <w:rPr>
                      <w:rFonts w:hint="eastAsia"/>
                      <w:sz w:val="20"/>
                    </w:rPr>
                    <w:t>验证部门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441" w:type="dxa"/>
                  <w:vAlign w:val="center"/>
                </w:tcPr>
                <w:p>
                  <w:pPr>
                    <w:spacing w:line="240" w:lineRule="exact"/>
                    <w:rPr>
                      <w:sz w:val="20"/>
                    </w:rPr>
                  </w:pPr>
                  <w:r>
                    <w:rPr>
                      <w:rFonts w:hint="eastAsia"/>
                      <w:sz w:val="20"/>
                    </w:rPr>
                    <w:t>1</w:t>
                  </w:r>
                </w:p>
              </w:tc>
              <w:tc>
                <w:tcPr>
                  <w:tcW w:w="797" w:type="dxa"/>
                  <w:vAlign w:val="center"/>
                </w:tcPr>
                <w:p>
                  <w:pPr>
                    <w:spacing w:line="240" w:lineRule="exact"/>
                    <w:rPr>
                      <w:sz w:val="20"/>
                    </w:rPr>
                  </w:pPr>
                  <w:r>
                    <w:rPr>
                      <w:rFonts w:hint="eastAsia"/>
                      <w:sz w:val="20"/>
                    </w:rPr>
                    <w:t>噪声达标排放</w:t>
                  </w:r>
                </w:p>
              </w:tc>
              <w:tc>
                <w:tcPr>
                  <w:tcW w:w="815" w:type="dxa"/>
                  <w:vAlign w:val="center"/>
                </w:tcPr>
                <w:p>
                  <w:pPr>
                    <w:spacing w:line="240" w:lineRule="exact"/>
                    <w:rPr>
                      <w:sz w:val="20"/>
                    </w:rPr>
                  </w:pPr>
                  <w:r>
                    <w:rPr>
                      <w:rFonts w:hint="eastAsia"/>
                      <w:sz w:val="20"/>
                    </w:rPr>
                    <w:t>噪声排放</w:t>
                  </w:r>
                </w:p>
              </w:tc>
              <w:tc>
                <w:tcPr>
                  <w:tcW w:w="1238" w:type="dxa"/>
                  <w:vAlign w:val="center"/>
                </w:tcPr>
                <w:p>
                  <w:pPr>
                    <w:spacing w:line="240" w:lineRule="exact"/>
                    <w:rPr>
                      <w:sz w:val="20"/>
                    </w:rPr>
                  </w:pPr>
                  <w:r>
                    <w:rPr>
                      <w:rFonts w:hint="eastAsia"/>
                      <w:sz w:val="20"/>
                    </w:rPr>
                    <w:t>厂界噪声1M处（A）；     昼间≤</w:t>
                  </w:r>
                  <w:r>
                    <w:rPr>
                      <w:sz w:val="20"/>
                    </w:rPr>
                    <w:t>65dB(A)</w:t>
                  </w:r>
                  <w:r>
                    <w:rPr>
                      <w:rFonts w:hint="eastAsia"/>
                      <w:sz w:val="20"/>
                    </w:rPr>
                    <w:t xml:space="preserve">        夜间≤</w:t>
                  </w:r>
                  <w:r>
                    <w:rPr>
                      <w:sz w:val="20"/>
                    </w:rPr>
                    <w:t>55dB(A)</w:t>
                  </w:r>
                </w:p>
              </w:tc>
              <w:tc>
                <w:tcPr>
                  <w:tcW w:w="2032" w:type="dxa"/>
                </w:tcPr>
                <w:p>
                  <w:pPr>
                    <w:spacing w:line="240" w:lineRule="exact"/>
                    <w:rPr>
                      <w:sz w:val="20"/>
                    </w:rPr>
                  </w:pPr>
                  <w:r>
                    <w:rPr>
                      <w:rFonts w:hint="eastAsia"/>
                      <w:sz w:val="20"/>
                    </w:rPr>
                    <w:t>1.选用高效、低碳、结构合理的设备，加强设备维和保养，从声源上降低噪声；                               2.采用有效的噪声控制控制技术措施；                          3.爆破</w:t>
                  </w:r>
                  <w:r>
                    <w:rPr>
                      <w:sz w:val="20"/>
                    </w:rPr>
                    <w:t>采用中深孔爆破，爆破点（即噪声源）一般在矿区中心</w:t>
                  </w:r>
                </w:p>
              </w:tc>
              <w:tc>
                <w:tcPr>
                  <w:tcW w:w="620" w:type="dxa"/>
                  <w:vAlign w:val="center"/>
                </w:tcPr>
                <w:p>
                  <w:pPr>
                    <w:spacing w:line="240" w:lineRule="exact"/>
                    <w:rPr>
                      <w:sz w:val="20"/>
                    </w:rPr>
                  </w:pPr>
                  <w:r>
                    <w:rPr>
                      <w:rFonts w:hint="eastAsia"/>
                      <w:sz w:val="20"/>
                    </w:rPr>
                    <w:t>生产部</w:t>
                  </w:r>
                </w:p>
              </w:tc>
              <w:tc>
                <w:tcPr>
                  <w:tcW w:w="717" w:type="dxa"/>
                  <w:vAlign w:val="center"/>
                </w:tcPr>
                <w:p>
                  <w:pPr>
                    <w:spacing w:line="240" w:lineRule="exact"/>
                    <w:rPr>
                      <w:sz w:val="20"/>
                    </w:rPr>
                  </w:pPr>
                  <w:r>
                    <w:rPr>
                      <w:rFonts w:hint="eastAsia"/>
                      <w:sz w:val="20"/>
                    </w:rPr>
                    <w:t>孙千运</w:t>
                  </w:r>
                </w:p>
              </w:tc>
              <w:tc>
                <w:tcPr>
                  <w:tcW w:w="541" w:type="dxa"/>
                  <w:vAlign w:val="center"/>
                </w:tcPr>
                <w:p>
                  <w:pPr>
                    <w:spacing w:line="240" w:lineRule="exact"/>
                    <w:rPr>
                      <w:sz w:val="20"/>
                    </w:rPr>
                  </w:pPr>
                  <w:r>
                    <w:rPr>
                      <w:rFonts w:hint="eastAsia"/>
                      <w:sz w:val="20"/>
                    </w:rPr>
                    <w:t>10万</w:t>
                  </w:r>
                </w:p>
              </w:tc>
              <w:tc>
                <w:tcPr>
                  <w:tcW w:w="838"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838" w:type="dxa"/>
                  <w:vAlign w:val="center"/>
                </w:tcPr>
                <w:p>
                  <w:pPr>
                    <w:spacing w:line="240" w:lineRule="exact"/>
                    <w:rPr>
                      <w:rFonts w:hint="default" w:eastAsia="宋体"/>
                      <w:sz w:val="20"/>
                      <w:lang w:val="en-US" w:eastAsia="zh-CN"/>
                    </w:rPr>
                  </w:pPr>
                  <w:r>
                    <w:rPr>
                      <w:rFonts w:hint="eastAsia"/>
                      <w:sz w:val="20"/>
                    </w:rPr>
                    <w:t>2021.</w:t>
                  </w:r>
                  <w:r>
                    <w:rPr>
                      <w:rFonts w:hint="eastAsia"/>
                      <w:sz w:val="20"/>
                      <w:lang w:val="en-US" w:eastAsia="zh-CN"/>
                    </w:rPr>
                    <w:t>9.30</w:t>
                  </w:r>
                </w:p>
              </w:tc>
              <w:tc>
                <w:tcPr>
                  <w:tcW w:w="762"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441" w:type="dxa"/>
                  <w:vAlign w:val="center"/>
                </w:tcPr>
                <w:p>
                  <w:pPr>
                    <w:spacing w:line="240" w:lineRule="exact"/>
                    <w:rPr>
                      <w:sz w:val="20"/>
                    </w:rPr>
                  </w:pPr>
                  <w:r>
                    <w:rPr>
                      <w:rFonts w:hint="eastAsia"/>
                      <w:sz w:val="20"/>
                    </w:rPr>
                    <w:t>2</w:t>
                  </w:r>
                </w:p>
              </w:tc>
              <w:tc>
                <w:tcPr>
                  <w:tcW w:w="797" w:type="dxa"/>
                  <w:vAlign w:val="center"/>
                </w:tcPr>
                <w:p>
                  <w:pPr>
                    <w:spacing w:line="240" w:lineRule="exact"/>
                    <w:rPr>
                      <w:sz w:val="20"/>
                    </w:rPr>
                  </w:pPr>
                  <w:r>
                    <w:rPr>
                      <w:sz w:val="20"/>
                    </w:rPr>
                    <w:t>加工区粉尘</w:t>
                  </w:r>
                  <w:r>
                    <w:rPr>
                      <w:rFonts w:hint="eastAsia"/>
                      <w:sz w:val="20"/>
                    </w:rPr>
                    <w:t>、废气</w:t>
                  </w:r>
                </w:p>
              </w:tc>
              <w:tc>
                <w:tcPr>
                  <w:tcW w:w="815" w:type="dxa"/>
                  <w:vAlign w:val="center"/>
                </w:tcPr>
                <w:p>
                  <w:pPr>
                    <w:spacing w:line="240" w:lineRule="exact"/>
                    <w:rPr>
                      <w:sz w:val="20"/>
                    </w:rPr>
                  </w:pPr>
                  <w:r>
                    <w:rPr>
                      <w:rFonts w:hint="eastAsia"/>
                      <w:sz w:val="20"/>
                    </w:rPr>
                    <w:t>过滤排放</w:t>
                  </w:r>
                </w:p>
              </w:tc>
              <w:tc>
                <w:tcPr>
                  <w:tcW w:w="1238" w:type="dxa"/>
                  <w:vAlign w:val="center"/>
                </w:tcPr>
                <w:p>
                  <w:pPr>
                    <w:spacing w:line="240" w:lineRule="exact"/>
                    <w:rPr>
                      <w:sz w:val="20"/>
                    </w:rPr>
                  </w:pPr>
                  <w:r>
                    <w:rPr>
                      <w:rFonts w:hint="eastAsia"/>
                      <w:sz w:val="20"/>
                    </w:rPr>
                    <w:t>100%过滤、降尘排放</w:t>
                  </w:r>
                </w:p>
              </w:tc>
              <w:tc>
                <w:tcPr>
                  <w:tcW w:w="2032" w:type="dxa"/>
                  <w:vAlign w:val="center"/>
                </w:tcPr>
                <w:p>
                  <w:pPr>
                    <w:spacing w:line="240" w:lineRule="exact"/>
                    <w:rPr>
                      <w:sz w:val="20"/>
                    </w:rPr>
                  </w:pPr>
                  <w:r>
                    <w:rPr>
                      <w:rFonts w:hint="eastAsia"/>
                      <w:sz w:val="20"/>
                    </w:rPr>
                    <w:t>车间和皮带运输设备封闭处理+湿法作业+集气罩+布袋除尘+15m高排气筒</w:t>
                  </w:r>
                </w:p>
              </w:tc>
              <w:tc>
                <w:tcPr>
                  <w:tcW w:w="620" w:type="dxa"/>
                  <w:vAlign w:val="center"/>
                </w:tcPr>
                <w:p>
                  <w:pPr>
                    <w:spacing w:line="240" w:lineRule="exact"/>
                    <w:rPr>
                      <w:sz w:val="20"/>
                    </w:rPr>
                  </w:pPr>
                  <w:r>
                    <w:rPr>
                      <w:rFonts w:hint="eastAsia"/>
                      <w:sz w:val="20"/>
                    </w:rPr>
                    <w:t>生产部</w:t>
                  </w:r>
                </w:p>
              </w:tc>
              <w:tc>
                <w:tcPr>
                  <w:tcW w:w="717" w:type="dxa"/>
                  <w:vAlign w:val="center"/>
                </w:tcPr>
                <w:p>
                  <w:pPr>
                    <w:spacing w:line="240" w:lineRule="exact"/>
                    <w:rPr>
                      <w:sz w:val="20"/>
                    </w:rPr>
                  </w:pPr>
                  <w:r>
                    <w:rPr>
                      <w:rFonts w:hint="eastAsia"/>
                      <w:sz w:val="20"/>
                    </w:rPr>
                    <w:t>孙千运</w:t>
                  </w:r>
                </w:p>
              </w:tc>
              <w:tc>
                <w:tcPr>
                  <w:tcW w:w="541" w:type="dxa"/>
                  <w:vAlign w:val="center"/>
                </w:tcPr>
                <w:p>
                  <w:pPr>
                    <w:spacing w:line="240" w:lineRule="exact"/>
                    <w:rPr>
                      <w:sz w:val="20"/>
                    </w:rPr>
                  </w:pPr>
                  <w:r>
                    <w:rPr>
                      <w:rFonts w:hint="eastAsia"/>
                      <w:sz w:val="20"/>
                    </w:rPr>
                    <w:t>10万</w:t>
                  </w:r>
                </w:p>
              </w:tc>
              <w:tc>
                <w:tcPr>
                  <w:tcW w:w="838"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838" w:type="dxa"/>
                  <w:vAlign w:val="center"/>
                </w:tcPr>
                <w:p>
                  <w:pPr>
                    <w:spacing w:line="240" w:lineRule="exact"/>
                    <w:rPr>
                      <w:sz w:val="20"/>
                    </w:rPr>
                  </w:pPr>
                  <w:r>
                    <w:rPr>
                      <w:rFonts w:hint="eastAsia"/>
                      <w:sz w:val="20"/>
                    </w:rPr>
                    <w:t>2021.</w:t>
                  </w:r>
                  <w:r>
                    <w:rPr>
                      <w:rFonts w:hint="eastAsia"/>
                      <w:sz w:val="20"/>
                      <w:lang w:val="en-US" w:eastAsia="zh-CN"/>
                    </w:rPr>
                    <w:t>9.30</w:t>
                  </w:r>
                </w:p>
              </w:tc>
              <w:tc>
                <w:tcPr>
                  <w:tcW w:w="762"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41" w:type="dxa"/>
                  <w:vAlign w:val="center"/>
                </w:tcPr>
                <w:p>
                  <w:pPr>
                    <w:spacing w:line="240" w:lineRule="exact"/>
                    <w:rPr>
                      <w:sz w:val="20"/>
                    </w:rPr>
                  </w:pPr>
                  <w:r>
                    <w:rPr>
                      <w:rFonts w:hint="eastAsia"/>
                      <w:sz w:val="20"/>
                    </w:rPr>
                    <w:t>3</w:t>
                  </w:r>
                </w:p>
              </w:tc>
              <w:tc>
                <w:tcPr>
                  <w:tcW w:w="797" w:type="dxa"/>
                  <w:vAlign w:val="center"/>
                </w:tcPr>
                <w:p>
                  <w:pPr>
                    <w:spacing w:line="240" w:lineRule="exact"/>
                    <w:rPr>
                      <w:sz w:val="20"/>
                    </w:rPr>
                  </w:pPr>
                  <w:r>
                    <w:rPr>
                      <w:rFonts w:hint="eastAsia"/>
                      <w:sz w:val="20"/>
                    </w:rPr>
                    <w:t>采矿区粉尘</w:t>
                  </w:r>
                </w:p>
              </w:tc>
              <w:tc>
                <w:tcPr>
                  <w:tcW w:w="815" w:type="dxa"/>
                  <w:vAlign w:val="center"/>
                </w:tcPr>
                <w:p>
                  <w:pPr>
                    <w:spacing w:line="240" w:lineRule="exact"/>
                    <w:rPr>
                      <w:sz w:val="20"/>
                    </w:rPr>
                  </w:pPr>
                  <w:r>
                    <w:rPr>
                      <w:rFonts w:hint="eastAsia"/>
                      <w:sz w:val="20"/>
                    </w:rPr>
                    <w:t>降尘</w:t>
                  </w:r>
                </w:p>
              </w:tc>
              <w:tc>
                <w:tcPr>
                  <w:tcW w:w="1238" w:type="dxa"/>
                  <w:vAlign w:val="center"/>
                </w:tcPr>
                <w:p>
                  <w:pPr>
                    <w:spacing w:line="240" w:lineRule="exact"/>
                    <w:rPr>
                      <w:sz w:val="20"/>
                    </w:rPr>
                  </w:pPr>
                  <w:r>
                    <w:rPr>
                      <w:rFonts w:hint="eastAsia"/>
                      <w:sz w:val="20"/>
                    </w:rPr>
                    <w:t>100%进行洒水抑尘</w:t>
                  </w:r>
                </w:p>
              </w:tc>
              <w:tc>
                <w:tcPr>
                  <w:tcW w:w="2032" w:type="dxa"/>
                  <w:vAlign w:val="center"/>
                </w:tcPr>
                <w:p>
                  <w:pPr>
                    <w:spacing w:line="240" w:lineRule="exact"/>
                    <w:rPr>
                      <w:sz w:val="20"/>
                    </w:rPr>
                  </w:pPr>
                  <w:r>
                    <w:rPr>
                      <w:rFonts w:hint="eastAsia"/>
                      <w:sz w:val="20"/>
                    </w:rPr>
                    <w:t>在矿石开采作业中，采用打眼爆破的方式，在爆破后粒径较大的粉尘在约4分钟内沉降。</w:t>
                  </w:r>
                </w:p>
              </w:tc>
              <w:tc>
                <w:tcPr>
                  <w:tcW w:w="620" w:type="dxa"/>
                  <w:vAlign w:val="center"/>
                </w:tcPr>
                <w:p>
                  <w:pPr>
                    <w:spacing w:line="240" w:lineRule="exact"/>
                    <w:rPr>
                      <w:sz w:val="20"/>
                    </w:rPr>
                  </w:pPr>
                  <w:r>
                    <w:rPr>
                      <w:rFonts w:hint="eastAsia"/>
                      <w:sz w:val="20"/>
                    </w:rPr>
                    <w:t>生产部</w:t>
                  </w:r>
                </w:p>
              </w:tc>
              <w:tc>
                <w:tcPr>
                  <w:tcW w:w="717" w:type="dxa"/>
                  <w:vAlign w:val="center"/>
                </w:tcPr>
                <w:p>
                  <w:pPr>
                    <w:spacing w:line="240" w:lineRule="exact"/>
                    <w:rPr>
                      <w:sz w:val="20"/>
                    </w:rPr>
                  </w:pPr>
                  <w:r>
                    <w:rPr>
                      <w:rFonts w:hint="eastAsia"/>
                      <w:sz w:val="20"/>
                    </w:rPr>
                    <w:t>孙千运</w:t>
                  </w:r>
                </w:p>
              </w:tc>
              <w:tc>
                <w:tcPr>
                  <w:tcW w:w="541" w:type="dxa"/>
                  <w:vAlign w:val="center"/>
                </w:tcPr>
                <w:p>
                  <w:pPr>
                    <w:spacing w:line="240" w:lineRule="exact"/>
                    <w:rPr>
                      <w:sz w:val="20"/>
                    </w:rPr>
                  </w:pPr>
                  <w:r>
                    <w:rPr>
                      <w:rFonts w:hint="eastAsia"/>
                      <w:sz w:val="20"/>
                    </w:rPr>
                    <w:t>2万</w:t>
                  </w:r>
                </w:p>
              </w:tc>
              <w:tc>
                <w:tcPr>
                  <w:tcW w:w="838"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838" w:type="dxa"/>
                  <w:vAlign w:val="center"/>
                </w:tcPr>
                <w:p>
                  <w:pPr>
                    <w:spacing w:line="240" w:lineRule="exact"/>
                    <w:rPr>
                      <w:sz w:val="20"/>
                    </w:rPr>
                  </w:pPr>
                  <w:r>
                    <w:rPr>
                      <w:rFonts w:hint="eastAsia"/>
                      <w:sz w:val="20"/>
                    </w:rPr>
                    <w:t>2021.</w:t>
                  </w:r>
                  <w:r>
                    <w:rPr>
                      <w:rFonts w:hint="eastAsia"/>
                      <w:sz w:val="20"/>
                      <w:lang w:val="en-US" w:eastAsia="zh-CN"/>
                    </w:rPr>
                    <w:t>9.30</w:t>
                  </w:r>
                </w:p>
              </w:tc>
              <w:tc>
                <w:tcPr>
                  <w:tcW w:w="762"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41" w:type="dxa"/>
                  <w:vAlign w:val="center"/>
                </w:tcPr>
                <w:p>
                  <w:pPr>
                    <w:spacing w:line="240" w:lineRule="exact"/>
                    <w:rPr>
                      <w:sz w:val="20"/>
                    </w:rPr>
                  </w:pPr>
                  <w:r>
                    <w:rPr>
                      <w:rFonts w:hint="eastAsia"/>
                      <w:sz w:val="20"/>
                    </w:rPr>
                    <w:t>4</w:t>
                  </w:r>
                </w:p>
              </w:tc>
              <w:tc>
                <w:tcPr>
                  <w:tcW w:w="797" w:type="dxa"/>
                  <w:vAlign w:val="center"/>
                </w:tcPr>
                <w:p>
                  <w:pPr>
                    <w:spacing w:line="240" w:lineRule="exact"/>
                    <w:rPr>
                      <w:sz w:val="20"/>
                    </w:rPr>
                  </w:pPr>
                  <w:r>
                    <w:rPr>
                      <w:rFonts w:hint="eastAsia"/>
                      <w:sz w:val="20"/>
                    </w:rPr>
                    <w:t>排土场粉尘、运输粉尘</w:t>
                  </w:r>
                </w:p>
              </w:tc>
              <w:tc>
                <w:tcPr>
                  <w:tcW w:w="815" w:type="dxa"/>
                  <w:vAlign w:val="center"/>
                </w:tcPr>
                <w:p>
                  <w:pPr>
                    <w:spacing w:line="240" w:lineRule="exact"/>
                    <w:rPr>
                      <w:sz w:val="20"/>
                    </w:rPr>
                  </w:pPr>
                  <w:r>
                    <w:rPr>
                      <w:rFonts w:hint="eastAsia"/>
                      <w:sz w:val="20"/>
                    </w:rPr>
                    <w:t>降尘</w:t>
                  </w:r>
                </w:p>
              </w:tc>
              <w:tc>
                <w:tcPr>
                  <w:tcW w:w="1238" w:type="dxa"/>
                  <w:vAlign w:val="center"/>
                </w:tcPr>
                <w:p>
                  <w:pPr>
                    <w:spacing w:line="240" w:lineRule="exact"/>
                    <w:rPr>
                      <w:sz w:val="20"/>
                    </w:rPr>
                  </w:pPr>
                  <w:r>
                    <w:rPr>
                      <w:rFonts w:hint="eastAsia"/>
                      <w:sz w:val="20"/>
                    </w:rPr>
                    <w:t>100%进行洒水抑尘</w:t>
                  </w:r>
                </w:p>
              </w:tc>
              <w:tc>
                <w:tcPr>
                  <w:tcW w:w="2032" w:type="dxa"/>
                  <w:vAlign w:val="center"/>
                </w:tcPr>
                <w:p>
                  <w:pPr>
                    <w:spacing w:line="240" w:lineRule="exact"/>
                    <w:rPr>
                      <w:sz w:val="20"/>
                    </w:rPr>
                  </w:pPr>
                  <w:r>
                    <w:rPr>
                      <w:rFonts w:hint="eastAsia"/>
                      <w:sz w:val="20"/>
                    </w:rPr>
                    <w:t>加强矿区洒水抑尘，降低车速。</w:t>
                  </w:r>
                </w:p>
              </w:tc>
              <w:tc>
                <w:tcPr>
                  <w:tcW w:w="620" w:type="dxa"/>
                  <w:vAlign w:val="center"/>
                </w:tcPr>
                <w:p>
                  <w:pPr>
                    <w:spacing w:line="240" w:lineRule="exact"/>
                    <w:rPr>
                      <w:sz w:val="20"/>
                    </w:rPr>
                  </w:pPr>
                  <w:r>
                    <w:rPr>
                      <w:rFonts w:hint="eastAsia"/>
                      <w:sz w:val="20"/>
                    </w:rPr>
                    <w:t>生产部</w:t>
                  </w:r>
                </w:p>
              </w:tc>
              <w:tc>
                <w:tcPr>
                  <w:tcW w:w="717" w:type="dxa"/>
                  <w:vAlign w:val="center"/>
                </w:tcPr>
                <w:p>
                  <w:pPr>
                    <w:spacing w:line="240" w:lineRule="exact"/>
                    <w:rPr>
                      <w:sz w:val="20"/>
                    </w:rPr>
                  </w:pPr>
                  <w:r>
                    <w:rPr>
                      <w:rFonts w:hint="eastAsia"/>
                      <w:sz w:val="20"/>
                    </w:rPr>
                    <w:t>孙千运</w:t>
                  </w:r>
                </w:p>
              </w:tc>
              <w:tc>
                <w:tcPr>
                  <w:tcW w:w="541" w:type="dxa"/>
                  <w:vAlign w:val="center"/>
                </w:tcPr>
                <w:p>
                  <w:pPr>
                    <w:spacing w:line="240" w:lineRule="exact"/>
                    <w:rPr>
                      <w:sz w:val="20"/>
                    </w:rPr>
                  </w:pPr>
                  <w:r>
                    <w:rPr>
                      <w:rFonts w:hint="eastAsia"/>
                      <w:sz w:val="20"/>
                    </w:rPr>
                    <w:t>2万</w:t>
                  </w:r>
                </w:p>
              </w:tc>
              <w:tc>
                <w:tcPr>
                  <w:tcW w:w="838"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838" w:type="dxa"/>
                  <w:vAlign w:val="center"/>
                </w:tcPr>
                <w:p>
                  <w:pPr>
                    <w:spacing w:line="240" w:lineRule="exact"/>
                    <w:rPr>
                      <w:sz w:val="20"/>
                    </w:rPr>
                  </w:pPr>
                  <w:r>
                    <w:rPr>
                      <w:rFonts w:hint="eastAsia"/>
                      <w:sz w:val="20"/>
                    </w:rPr>
                    <w:t>2021.</w:t>
                  </w:r>
                  <w:r>
                    <w:rPr>
                      <w:rFonts w:hint="eastAsia"/>
                      <w:sz w:val="20"/>
                      <w:lang w:val="en-US" w:eastAsia="zh-CN"/>
                    </w:rPr>
                    <w:t>9.30</w:t>
                  </w:r>
                </w:p>
              </w:tc>
              <w:tc>
                <w:tcPr>
                  <w:tcW w:w="762"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1" w:type="dxa"/>
                  <w:vAlign w:val="center"/>
                </w:tcPr>
                <w:p>
                  <w:pPr>
                    <w:spacing w:line="240" w:lineRule="exact"/>
                    <w:rPr>
                      <w:sz w:val="20"/>
                    </w:rPr>
                  </w:pPr>
                  <w:r>
                    <w:rPr>
                      <w:rFonts w:hint="eastAsia"/>
                      <w:sz w:val="20"/>
                    </w:rPr>
                    <w:t>5</w:t>
                  </w:r>
                </w:p>
              </w:tc>
              <w:tc>
                <w:tcPr>
                  <w:tcW w:w="797" w:type="dxa"/>
                  <w:vAlign w:val="center"/>
                </w:tcPr>
                <w:p>
                  <w:pPr>
                    <w:spacing w:line="240" w:lineRule="exact"/>
                    <w:rPr>
                      <w:sz w:val="20"/>
                    </w:rPr>
                  </w:pPr>
                  <w:r>
                    <w:rPr>
                      <w:rFonts w:hint="eastAsia"/>
                      <w:sz w:val="20"/>
                    </w:rPr>
                    <w:t>废机油</w:t>
                  </w:r>
                </w:p>
              </w:tc>
              <w:tc>
                <w:tcPr>
                  <w:tcW w:w="815" w:type="dxa"/>
                  <w:vAlign w:val="center"/>
                </w:tcPr>
                <w:p>
                  <w:pPr>
                    <w:spacing w:line="240" w:lineRule="exact"/>
                    <w:rPr>
                      <w:sz w:val="20"/>
                    </w:rPr>
                  </w:pPr>
                  <w:r>
                    <w:rPr>
                      <w:rFonts w:hint="eastAsia"/>
                      <w:sz w:val="20"/>
                    </w:rPr>
                    <w:t>收集</w:t>
                  </w:r>
                </w:p>
              </w:tc>
              <w:tc>
                <w:tcPr>
                  <w:tcW w:w="1238" w:type="dxa"/>
                  <w:vAlign w:val="center"/>
                </w:tcPr>
                <w:p>
                  <w:pPr>
                    <w:spacing w:line="240" w:lineRule="exact"/>
                    <w:rPr>
                      <w:sz w:val="20"/>
                    </w:rPr>
                  </w:pPr>
                  <w:r>
                    <w:rPr>
                      <w:rFonts w:hint="eastAsia"/>
                      <w:sz w:val="20"/>
                    </w:rPr>
                    <w:t>100%收集</w:t>
                  </w:r>
                </w:p>
              </w:tc>
              <w:tc>
                <w:tcPr>
                  <w:tcW w:w="2032" w:type="dxa"/>
                  <w:vAlign w:val="center"/>
                </w:tcPr>
                <w:p>
                  <w:pPr>
                    <w:spacing w:line="240" w:lineRule="exact"/>
                    <w:rPr>
                      <w:sz w:val="20"/>
                    </w:rPr>
                  </w:pPr>
                  <w:r>
                    <w:rPr>
                      <w:rFonts w:hint="eastAsia"/>
                      <w:sz w:val="20"/>
                    </w:rPr>
                    <w:t xml:space="preserve">    委托有资质单位处置              </w:t>
                  </w:r>
                </w:p>
              </w:tc>
              <w:tc>
                <w:tcPr>
                  <w:tcW w:w="620" w:type="dxa"/>
                  <w:vAlign w:val="center"/>
                </w:tcPr>
                <w:p>
                  <w:pPr>
                    <w:spacing w:line="240" w:lineRule="exact"/>
                    <w:rPr>
                      <w:sz w:val="20"/>
                    </w:rPr>
                  </w:pPr>
                  <w:r>
                    <w:rPr>
                      <w:rFonts w:hint="eastAsia"/>
                      <w:sz w:val="20"/>
                    </w:rPr>
                    <w:t>生产部</w:t>
                  </w:r>
                </w:p>
              </w:tc>
              <w:tc>
                <w:tcPr>
                  <w:tcW w:w="717" w:type="dxa"/>
                  <w:vAlign w:val="center"/>
                </w:tcPr>
                <w:p>
                  <w:pPr>
                    <w:spacing w:line="240" w:lineRule="exact"/>
                    <w:rPr>
                      <w:sz w:val="20"/>
                    </w:rPr>
                  </w:pPr>
                  <w:r>
                    <w:rPr>
                      <w:rFonts w:hint="eastAsia"/>
                      <w:sz w:val="20"/>
                    </w:rPr>
                    <w:t>孙千运</w:t>
                  </w:r>
                </w:p>
              </w:tc>
              <w:tc>
                <w:tcPr>
                  <w:tcW w:w="541" w:type="dxa"/>
                  <w:vAlign w:val="center"/>
                </w:tcPr>
                <w:p>
                  <w:pPr>
                    <w:spacing w:line="240" w:lineRule="exact"/>
                    <w:rPr>
                      <w:sz w:val="20"/>
                    </w:rPr>
                  </w:pPr>
                  <w:r>
                    <w:rPr>
                      <w:rFonts w:hint="eastAsia"/>
                      <w:sz w:val="20"/>
                    </w:rPr>
                    <w:t>2万</w:t>
                  </w:r>
                </w:p>
              </w:tc>
              <w:tc>
                <w:tcPr>
                  <w:tcW w:w="838"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838" w:type="dxa"/>
                  <w:vAlign w:val="center"/>
                </w:tcPr>
                <w:p>
                  <w:pPr>
                    <w:spacing w:line="240" w:lineRule="exact"/>
                    <w:rPr>
                      <w:sz w:val="20"/>
                    </w:rPr>
                  </w:pPr>
                  <w:r>
                    <w:rPr>
                      <w:rFonts w:hint="eastAsia"/>
                      <w:sz w:val="20"/>
                    </w:rPr>
                    <w:t>2021.</w:t>
                  </w:r>
                  <w:r>
                    <w:rPr>
                      <w:rFonts w:hint="eastAsia"/>
                      <w:sz w:val="20"/>
                      <w:lang w:val="en-US" w:eastAsia="zh-CN"/>
                    </w:rPr>
                    <w:t>9.30</w:t>
                  </w:r>
                </w:p>
              </w:tc>
              <w:tc>
                <w:tcPr>
                  <w:tcW w:w="762"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41" w:type="dxa"/>
                  <w:vAlign w:val="center"/>
                </w:tcPr>
                <w:p>
                  <w:pPr>
                    <w:spacing w:line="240" w:lineRule="exact"/>
                    <w:rPr>
                      <w:sz w:val="20"/>
                    </w:rPr>
                  </w:pPr>
                  <w:r>
                    <w:rPr>
                      <w:rFonts w:hint="eastAsia"/>
                      <w:sz w:val="20"/>
                    </w:rPr>
                    <w:t>6</w:t>
                  </w:r>
                </w:p>
              </w:tc>
              <w:tc>
                <w:tcPr>
                  <w:tcW w:w="797" w:type="dxa"/>
                  <w:vAlign w:val="center"/>
                </w:tcPr>
                <w:p>
                  <w:pPr>
                    <w:spacing w:line="240" w:lineRule="exact"/>
                    <w:rPr>
                      <w:sz w:val="20"/>
                    </w:rPr>
                  </w:pPr>
                  <w:r>
                    <w:rPr>
                      <w:rFonts w:hint="eastAsia"/>
                      <w:sz w:val="20"/>
                    </w:rPr>
                    <w:t>火灾、爆炸</w:t>
                  </w:r>
                </w:p>
              </w:tc>
              <w:tc>
                <w:tcPr>
                  <w:tcW w:w="815" w:type="dxa"/>
                  <w:vAlign w:val="center"/>
                </w:tcPr>
                <w:p>
                  <w:pPr>
                    <w:spacing w:line="240" w:lineRule="exact"/>
                    <w:rPr>
                      <w:sz w:val="20"/>
                    </w:rPr>
                  </w:pPr>
                  <w:r>
                    <w:rPr>
                      <w:rFonts w:hint="eastAsia"/>
                      <w:sz w:val="20"/>
                    </w:rPr>
                    <w:t>预防潜在火灾事故</w:t>
                  </w:r>
                </w:p>
              </w:tc>
              <w:tc>
                <w:tcPr>
                  <w:tcW w:w="1238" w:type="dxa"/>
                  <w:vAlign w:val="center"/>
                </w:tcPr>
                <w:p>
                  <w:pPr>
                    <w:spacing w:line="240" w:lineRule="exact"/>
                    <w:rPr>
                      <w:sz w:val="20"/>
                    </w:rPr>
                  </w:pPr>
                  <w:r>
                    <w:rPr>
                      <w:rFonts w:hint="eastAsia"/>
                      <w:sz w:val="20"/>
                    </w:rPr>
                    <w:t>每年控制不发生火灾事故</w:t>
                  </w:r>
                </w:p>
              </w:tc>
              <w:tc>
                <w:tcPr>
                  <w:tcW w:w="2032" w:type="dxa"/>
                </w:tcPr>
                <w:p>
                  <w:pPr>
                    <w:spacing w:line="240" w:lineRule="exact"/>
                    <w:rPr>
                      <w:sz w:val="20"/>
                    </w:rPr>
                  </w:pPr>
                  <w:r>
                    <w:rPr>
                      <w:rFonts w:hint="eastAsia"/>
                      <w:sz w:val="20"/>
                    </w:rPr>
                    <w:t xml:space="preserve">制定火灾预案及消防管理规定，加强人员消防意识，防患于未来；                  </w:t>
                  </w:r>
                </w:p>
                <w:p>
                  <w:pPr>
                    <w:spacing w:line="240" w:lineRule="exact"/>
                    <w:rPr>
                      <w:sz w:val="20"/>
                    </w:rPr>
                  </w:pPr>
                  <w:r>
                    <w:rPr>
                      <w:rFonts w:hint="eastAsia"/>
                      <w:sz w:val="20"/>
                    </w:rPr>
                    <w:t>2.实行应急准备演练及试验，一旦发生可立即疏散及抢救。</w:t>
                  </w:r>
                </w:p>
              </w:tc>
              <w:tc>
                <w:tcPr>
                  <w:tcW w:w="620" w:type="dxa"/>
                  <w:vAlign w:val="center"/>
                </w:tcPr>
                <w:p>
                  <w:pPr>
                    <w:spacing w:line="240" w:lineRule="exact"/>
                    <w:rPr>
                      <w:sz w:val="20"/>
                    </w:rPr>
                  </w:pPr>
                  <w:r>
                    <w:rPr>
                      <w:rFonts w:hint="eastAsia"/>
                      <w:sz w:val="20"/>
                    </w:rPr>
                    <w:t>生产部</w:t>
                  </w:r>
                </w:p>
              </w:tc>
              <w:tc>
                <w:tcPr>
                  <w:tcW w:w="717" w:type="dxa"/>
                  <w:vAlign w:val="center"/>
                </w:tcPr>
                <w:p>
                  <w:pPr>
                    <w:spacing w:line="240" w:lineRule="exact"/>
                    <w:rPr>
                      <w:sz w:val="20"/>
                    </w:rPr>
                  </w:pPr>
                  <w:r>
                    <w:rPr>
                      <w:rFonts w:hint="eastAsia"/>
                      <w:sz w:val="20"/>
                    </w:rPr>
                    <w:t>孙千运</w:t>
                  </w:r>
                </w:p>
              </w:tc>
              <w:tc>
                <w:tcPr>
                  <w:tcW w:w="541" w:type="dxa"/>
                  <w:vAlign w:val="center"/>
                </w:tcPr>
                <w:p>
                  <w:pPr>
                    <w:spacing w:line="240" w:lineRule="exact"/>
                    <w:rPr>
                      <w:sz w:val="20"/>
                    </w:rPr>
                  </w:pPr>
                  <w:r>
                    <w:rPr>
                      <w:rFonts w:hint="eastAsia"/>
                      <w:sz w:val="20"/>
                    </w:rPr>
                    <w:t>2万</w:t>
                  </w:r>
                </w:p>
              </w:tc>
              <w:tc>
                <w:tcPr>
                  <w:tcW w:w="838"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838" w:type="dxa"/>
                  <w:vAlign w:val="center"/>
                </w:tcPr>
                <w:p>
                  <w:pPr>
                    <w:spacing w:line="240" w:lineRule="exact"/>
                    <w:rPr>
                      <w:sz w:val="20"/>
                    </w:rPr>
                  </w:pPr>
                  <w:r>
                    <w:rPr>
                      <w:rFonts w:hint="eastAsia"/>
                      <w:sz w:val="20"/>
                    </w:rPr>
                    <w:t>2021.</w:t>
                  </w:r>
                  <w:r>
                    <w:rPr>
                      <w:rFonts w:hint="eastAsia"/>
                      <w:sz w:val="20"/>
                      <w:lang w:val="en-US" w:eastAsia="zh-CN"/>
                    </w:rPr>
                    <w:t>9.30</w:t>
                  </w:r>
                </w:p>
              </w:tc>
              <w:tc>
                <w:tcPr>
                  <w:tcW w:w="762"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1" w:type="dxa"/>
                  <w:vAlign w:val="center"/>
                </w:tcPr>
                <w:p>
                  <w:pPr>
                    <w:spacing w:line="240" w:lineRule="exact"/>
                    <w:rPr>
                      <w:sz w:val="20"/>
                    </w:rPr>
                  </w:pPr>
                  <w:r>
                    <w:rPr>
                      <w:rFonts w:hint="eastAsia"/>
                      <w:sz w:val="20"/>
                    </w:rPr>
                    <w:t>7</w:t>
                  </w:r>
                </w:p>
              </w:tc>
              <w:tc>
                <w:tcPr>
                  <w:tcW w:w="797" w:type="dxa"/>
                  <w:vAlign w:val="center"/>
                </w:tcPr>
                <w:p>
                  <w:pPr>
                    <w:spacing w:line="240" w:lineRule="exact"/>
                    <w:rPr>
                      <w:sz w:val="20"/>
                    </w:rPr>
                  </w:pPr>
                  <w:r>
                    <w:rPr>
                      <w:rFonts w:hint="eastAsia"/>
                      <w:sz w:val="20"/>
                    </w:rPr>
                    <w:t>废水</w:t>
                  </w:r>
                </w:p>
              </w:tc>
              <w:tc>
                <w:tcPr>
                  <w:tcW w:w="815" w:type="dxa"/>
                  <w:vAlign w:val="center"/>
                </w:tcPr>
                <w:p>
                  <w:pPr>
                    <w:spacing w:line="240" w:lineRule="exact"/>
                    <w:rPr>
                      <w:sz w:val="20"/>
                    </w:rPr>
                  </w:pPr>
                  <w:r>
                    <w:rPr>
                      <w:rFonts w:hint="eastAsia"/>
                      <w:sz w:val="20"/>
                    </w:rPr>
                    <w:t>不外排</w:t>
                  </w:r>
                </w:p>
              </w:tc>
              <w:tc>
                <w:tcPr>
                  <w:tcW w:w="1238" w:type="dxa"/>
                  <w:vAlign w:val="center"/>
                </w:tcPr>
                <w:p>
                  <w:pPr>
                    <w:spacing w:line="240" w:lineRule="exact"/>
                    <w:rPr>
                      <w:sz w:val="20"/>
                    </w:rPr>
                  </w:pPr>
                  <w:r>
                    <w:rPr>
                      <w:rFonts w:hint="eastAsia"/>
                      <w:sz w:val="20"/>
                    </w:rPr>
                    <w:t>100%用于生产</w:t>
                  </w:r>
                </w:p>
              </w:tc>
              <w:tc>
                <w:tcPr>
                  <w:tcW w:w="2032" w:type="dxa"/>
                </w:tcPr>
                <w:p>
                  <w:pPr>
                    <w:spacing w:line="240" w:lineRule="exact"/>
                    <w:rPr>
                      <w:sz w:val="20"/>
                    </w:rPr>
                  </w:pPr>
                  <w:r>
                    <w:rPr>
                      <w:rFonts w:hint="eastAsia"/>
                      <w:sz w:val="20"/>
                    </w:rPr>
                    <w:t>生产废水经二级沉淀处理后全部回用于生产，不外排</w:t>
                  </w:r>
                </w:p>
              </w:tc>
              <w:tc>
                <w:tcPr>
                  <w:tcW w:w="620" w:type="dxa"/>
                  <w:vAlign w:val="center"/>
                </w:tcPr>
                <w:p>
                  <w:pPr>
                    <w:spacing w:line="240" w:lineRule="exact"/>
                    <w:rPr>
                      <w:sz w:val="20"/>
                    </w:rPr>
                  </w:pPr>
                  <w:r>
                    <w:rPr>
                      <w:rFonts w:hint="eastAsia"/>
                      <w:sz w:val="20"/>
                    </w:rPr>
                    <w:t>生产部</w:t>
                  </w:r>
                </w:p>
              </w:tc>
              <w:tc>
                <w:tcPr>
                  <w:tcW w:w="717" w:type="dxa"/>
                  <w:vAlign w:val="center"/>
                </w:tcPr>
                <w:p>
                  <w:pPr>
                    <w:spacing w:line="240" w:lineRule="exact"/>
                    <w:rPr>
                      <w:sz w:val="20"/>
                    </w:rPr>
                  </w:pPr>
                  <w:r>
                    <w:rPr>
                      <w:rFonts w:hint="eastAsia"/>
                      <w:sz w:val="20"/>
                    </w:rPr>
                    <w:t>孙千运</w:t>
                  </w:r>
                </w:p>
              </w:tc>
              <w:tc>
                <w:tcPr>
                  <w:tcW w:w="541" w:type="dxa"/>
                  <w:vAlign w:val="center"/>
                </w:tcPr>
                <w:p>
                  <w:pPr>
                    <w:spacing w:line="240" w:lineRule="exact"/>
                    <w:rPr>
                      <w:sz w:val="20"/>
                    </w:rPr>
                  </w:pPr>
                  <w:r>
                    <w:rPr>
                      <w:rFonts w:hint="eastAsia"/>
                      <w:sz w:val="20"/>
                    </w:rPr>
                    <w:t>2万</w:t>
                  </w:r>
                </w:p>
              </w:tc>
              <w:tc>
                <w:tcPr>
                  <w:tcW w:w="838"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838" w:type="dxa"/>
                  <w:vAlign w:val="center"/>
                </w:tcPr>
                <w:p>
                  <w:pPr>
                    <w:spacing w:line="240" w:lineRule="exact"/>
                    <w:rPr>
                      <w:sz w:val="20"/>
                    </w:rPr>
                  </w:pPr>
                  <w:r>
                    <w:rPr>
                      <w:rFonts w:hint="eastAsia"/>
                      <w:sz w:val="20"/>
                    </w:rPr>
                    <w:t>2021.</w:t>
                  </w:r>
                  <w:r>
                    <w:rPr>
                      <w:rFonts w:hint="eastAsia"/>
                      <w:sz w:val="20"/>
                      <w:lang w:val="en-US" w:eastAsia="zh-CN"/>
                    </w:rPr>
                    <w:t>9.30</w:t>
                  </w:r>
                </w:p>
              </w:tc>
              <w:tc>
                <w:tcPr>
                  <w:tcW w:w="762"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41" w:type="dxa"/>
                  <w:vAlign w:val="center"/>
                </w:tcPr>
                <w:p>
                  <w:pPr>
                    <w:spacing w:line="240" w:lineRule="exact"/>
                    <w:rPr>
                      <w:sz w:val="20"/>
                    </w:rPr>
                  </w:pPr>
                  <w:r>
                    <w:rPr>
                      <w:rFonts w:hint="eastAsia"/>
                      <w:sz w:val="20"/>
                    </w:rPr>
                    <w:t>8</w:t>
                  </w:r>
                </w:p>
              </w:tc>
              <w:tc>
                <w:tcPr>
                  <w:tcW w:w="797" w:type="dxa"/>
                  <w:vAlign w:val="center"/>
                </w:tcPr>
                <w:p>
                  <w:pPr>
                    <w:spacing w:line="240" w:lineRule="exact"/>
                    <w:rPr>
                      <w:sz w:val="20"/>
                    </w:rPr>
                  </w:pPr>
                  <w:r>
                    <w:rPr>
                      <w:rFonts w:hint="eastAsia"/>
                      <w:sz w:val="20"/>
                    </w:rPr>
                    <w:t>能源资源的消耗</w:t>
                  </w:r>
                </w:p>
              </w:tc>
              <w:tc>
                <w:tcPr>
                  <w:tcW w:w="815" w:type="dxa"/>
                  <w:vAlign w:val="center"/>
                </w:tcPr>
                <w:p>
                  <w:pPr>
                    <w:spacing w:line="240" w:lineRule="exact"/>
                    <w:rPr>
                      <w:sz w:val="20"/>
                    </w:rPr>
                  </w:pPr>
                  <w:r>
                    <w:rPr>
                      <w:rFonts w:hint="eastAsia"/>
                      <w:sz w:val="20"/>
                    </w:rPr>
                    <w:t>控制能源资源的浪费</w:t>
                  </w:r>
                </w:p>
              </w:tc>
              <w:tc>
                <w:tcPr>
                  <w:tcW w:w="1238" w:type="dxa"/>
                  <w:vAlign w:val="center"/>
                </w:tcPr>
                <w:p>
                  <w:pPr>
                    <w:spacing w:line="240" w:lineRule="exact"/>
                    <w:rPr>
                      <w:sz w:val="20"/>
                    </w:rPr>
                  </w:pPr>
                  <w:r>
                    <w:rPr>
                      <w:rFonts w:hint="eastAsia"/>
                      <w:sz w:val="20"/>
                    </w:rPr>
                    <w:t>杜绝浪费</w:t>
                  </w:r>
                </w:p>
              </w:tc>
              <w:tc>
                <w:tcPr>
                  <w:tcW w:w="2032" w:type="dxa"/>
                </w:tcPr>
                <w:p>
                  <w:pPr>
                    <w:spacing w:line="240" w:lineRule="exact"/>
                    <w:rPr>
                      <w:sz w:val="20"/>
                    </w:rPr>
                  </w:pPr>
                  <w:r>
                    <w:rPr>
                      <w:rFonts w:hint="eastAsia"/>
                      <w:sz w:val="20"/>
                    </w:rPr>
                    <w:t>加强设备运行维护和电、煤消耗绩效考核</w:t>
                  </w:r>
                </w:p>
              </w:tc>
              <w:tc>
                <w:tcPr>
                  <w:tcW w:w="620" w:type="dxa"/>
                  <w:vAlign w:val="center"/>
                </w:tcPr>
                <w:p>
                  <w:pPr>
                    <w:spacing w:line="240" w:lineRule="exact"/>
                    <w:rPr>
                      <w:sz w:val="20"/>
                    </w:rPr>
                  </w:pPr>
                  <w:r>
                    <w:rPr>
                      <w:rFonts w:hint="eastAsia"/>
                      <w:sz w:val="20"/>
                    </w:rPr>
                    <w:t>生产部</w:t>
                  </w:r>
                </w:p>
              </w:tc>
              <w:tc>
                <w:tcPr>
                  <w:tcW w:w="717" w:type="dxa"/>
                  <w:vAlign w:val="center"/>
                </w:tcPr>
                <w:p>
                  <w:pPr>
                    <w:spacing w:line="240" w:lineRule="exact"/>
                    <w:rPr>
                      <w:sz w:val="20"/>
                    </w:rPr>
                  </w:pPr>
                  <w:r>
                    <w:rPr>
                      <w:rFonts w:hint="eastAsia"/>
                      <w:sz w:val="20"/>
                    </w:rPr>
                    <w:t>孙千运</w:t>
                  </w:r>
                </w:p>
              </w:tc>
              <w:tc>
                <w:tcPr>
                  <w:tcW w:w="541" w:type="dxa"/>
                  <w:vAlign w:val="center"/>
                </w:tcPr>
                <w:p>
                  <w:pPr>
                    <w:spacing w:line="240" w:lineRule="exact"/>
                    <w:rPr>
                      <w:sz w:val="20"/>
                    </w:rPr>
                  </w:pPr>
                  <w:r>
                    <w:rPr>
                      <w:rFonts w:hint="eastAsia"/>
                      <w:sz w:val="20"/>
                    </w:rPr>
                    <w:t>2万</w:t>
                  </w:r>
                </w:p>
              </w:tc>
              <w:tc>
                <w:tcPr>
                  <w:tcW w:w="838"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838" w:type="dxa"/>
                  <w:vAlign w:val="center"/>
                </w:tcPr>
                <w:p>
                  <w:pPr>
                    <w:spacing w:line="240" w:lineRule="exact"/>
                    <w:rPr>
                      <w:sz w:val="20"/>
                    </w:rPr>
                  </w:pPr>
                  <w:r>
                    <w:rPr>
                      <w:rFonts w:hint="eastAsia"/>
                      <w:sz w:val="20"/>
                    </w:rPr>
                    <w:t>2021.</w:t>
                  </w:r>
                  <w:r>
                    <w:rPr>
                      <w:rFonts w:hint="eastAsia"/>
                      <w:sz w:val="20"/>
                      <w:lang w:val="en-US" w:eastAsia="zh-CN"/>
                    </w:rPr>
                    <w:t>9.30</w:t>
                  </w:r>
                </w:p>
              </w:tc>
              <w:tc>
                <w:tcPr>
                  <w:tcW w:w="762" w:type="dxa"/>
                  <w:vAlign w:val="center"/>
                </w:tcPr>
                <w:p>
                  <w:pPr>
                    <w:spacing w:line="240" w:lineRule="exact"/>
                    <w:rPr>
                      <w:sz w:val="20"/>
                    </w:rPr>
                  </w:pPr>
                  <w:r>
                    <w:rPr>
                      <w:rFonts w:hint="eastAsia"/>
                      <w:sz w:val="20"/>
                    </w:rPr>
                    <w:t>行政部</w:t>
                  </w:r>
                </w:p>
              </w:tc>
            </w:tr>
          </w:tbl>
          <w:p>
            <w:pPr>
              <w:spacing w:beforeLines="30" w:afterLines="30" w:line="288" w:lineRule="auto"/>
              <w:ind w:firstLine="480" w:firstLineChars="200"/>
              <w:rPr>
                <w:rFonts w:eastAsiaTheme="minorEastAsia"/>
                <w:sz w:val="24"/>
                <w:szCs w:val="24"/>
              </w:rPr>
            </w:pP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查见《职业健康安全管理方案》，</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715"/>
              <w:gridCol w:w="1017"/>
              <w:gridCol w:w="551"/>
              <w:gridCol w:w="2949"/>
              <w:gridCol w:w="538"/>
              <w:gridCol w:w="638"/>
              <w:gridCol w:w="679"/>
              <w:gridCol w:w="786"/>
              <w:gridCol w:w="769"/>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46" w:type="dxa"/>
                  <w:vAlign w:val="center"/>
                </w:tcPr>
                <w:p>
                  <w:pPr>
                    <w:spacing w:line="240" w:lineRule="exact"/>
                    <w:rPr>
                      <w:sz w:val="20"/>
                    </w:rPr>
                  </w:pPr>
                  <w:r>
                    <w:rPr>
                      <w:rFonts w:hint="eastAsia"/>
                      <w:sz w:val="20"/>
                    </w:rPr>
                    <w:t>序号</w:t>
                  </w:r>
                </w:p>
              </w:tc>
              <w:tc>
                <w:tcPr>
                  <w:tcW w:w="715" w:type="dxa"/>
                  <w:vAlign w:val="center"/>
                </w:tcPr>
                <w:p>
                  <w:pPr>
                    <w:spacing w:line="240" w:lineRule="exact"/>
                    <w:rPr>
                      <w:sz w:val="20"/>
                    </w:rPr>
                  </w:pPr>
                  <w:r>
                    <w:rPr>
                      <w:rFonts w:hint="eastAsia"/>
                      <w:sz w:val="20"/>
                    </w:rPr>
                    <w:t>重要</w:t>
                  </w:r>
                </w:p>
                <w:p>
                  <w:pPr>
                    <w:spacing w:line="240" w:lineRule="exact"/>
                    <w:rPr>
                      <w:sz w:val="20"/>
                    </w:rPr>
                  </w:pPr>
                  <w:r>
                    <w:rPr>
                      <w:rFonts w:hint="eastAsia"/>
                      <w:sz w:val="20"/>
                    </w:rPr>
                    <w:t>危险源</w:t>
                  </w:r>
                </w:p>
              </w:tc>
              <w:tc>
                <w:tcPr>
                  <w:tcW w:w="1017" w:type="dxa"/>
                  <w:vAlign w:val="center"/>
                </w:tcPr>
                <w:p>
                  <w:pPr>
                    <w:spacing w:line="240" w:lineRule="exact"/>
                    <w:rPr>
                      <w:sz w:val="20"/>
                    </w:rPr>
                  </w:pPr>
                  <w:r>
                    <w:rPr>
                      <w:rFonts w:hint="eastAsia"/>
                      <w:sz w:val="20"/>
                    </w:rPr>
                    <w:t>目标</w:t>
                  </w:r>
                </w:p>
              </w:tc>
              <w:tc>
                <w:tcPr>
                  <w:tcW w:w="551" w:type="dxa"/>
                  <w:vAlign w:val="center"/>
                </w:tcPr>
                <w:p>
                  <w:pPr>
                    <w:spacing w:line="240" w:lineRule="exact"/>
                    <w:rPr>
                      <w:sz w:val="20"/>
                    </w:rPr>
                  </w:pPr>
                  <w:r>
                    <w:rPr>
                      <w:rFonts w:hint="eastAsia"/>
                      <w:sz w:val="20"/>
                    </w:rPr>
                    <w:t>指标</w:t>
                  </w:r>
                </w:p>
              </w:tc>
              <w:tc>
                <w:tcPr>
                  <w:tcW w:w="2949" w:type="dxa"/>
                  <w:vAlign w:val="center"/>
                </w:tcPr>
                <w:p>
                  <w:pPr>
                    <w:spacing w:line="240" w:lineRule="exact"/>
                    <w:rPr>
                      <w:sz w:val="20"/>
                    </w:rPr>
                  </w:pPr>
                  <w:r>
                    <w:rPr>
                      <w:rFonts w:hint="eastAsia"/>
                      <w:sz w:val="20"/>
                    </w:rPr>
                    <w:t>方法和技术措施</w:t>
                  </w:r>
                </w:p>
              </w:tc>
              <w:tc>
                <w:tcPr>
                  <w:tcW w:w="538" w:type="dxa"/>
                  <w:vAlign w:val="center"/>
                </w:tcPr>
                <w:p>
                  <w:pPr>
                    <w:spacing w:line="240" w:lineRule="exact"/>
                    <w:rPr>
                      <w:sz w:val="20"/>
                    </w:rPr>
                  </w:pPr>
                  <w:r>
                    <w:rPr>
                      <w:rFonts w:hint="eastAsia"/>
                      <w:sz w:val="20"/>
                    </w:rPr>
                    <w:t>执行部门</w:t>
                  </w:r>
                </w:p>
              </w:tc>
              <w:tc>
                <w:tcPr>
                  <w:tcW w:w="638" w:type="dxa"/>
                  <w:vAlign w:val="center"/>
                </w:tcPr>
                <w:p>
                  <w:pPr>
                    <w:spacing w:line="240" w:lineRule="exact"/>
                    <w:rPr>
                      <w:sz w:val="20"/>
                    </w:rPr>
                  </w:pPr>
                  <w:r>
                    <w:rPr>
                      <w:rFonts w:hint="eastAsia"/>
                      <w:sz w:val="20"/>
                    </w:rPr>
                    <w:t>负责人</w:t>
                  </w:r>
                </w:p>
              </w:tc>
              <w:tc>
                <w:tcPr>
                  <w:tcW w:w="679" w:type="dxa"/>
                  <w:vAlign w:val="center"/>
                </w:tcPr>
                <w:p>
                  <w:pPr>
                    <w:spacing w:line="240" w:lineRule="exact"/>
                    <w:rPr>
                      <w:sz w:val="20"/>
                    </w:rPr>
                  </w:pPr>
                  <w:r>
                    <w:rPr>
                      <w:rFonts w:hint="eastAsia"/>
                      <w:sz w:val="20"/>
                    </w:rPr>
                    <w:t>预算费用</w:t>
                  </w:r>
                </w:p>
              </w:tc>
              <w:tc>
                <w:tcPr>
                  <w:tcW w:w="786" w:type="dxa"/>
                  <w:vAlign w:val="center"/>
                </w:tcPr>
                <w:p>
                  <w:pPr>
                    <w:spacing w:line="240" w:lineRule="exact"/>
                    <w:rPr>
                      <w:sz w:val="20"/>
                    </w:rPr>
                  </w:pPr>
                  <w:r>
                    <w:rPr>
                      <w:rFonts w:hint="eastAsia"/>
                      <w:sz w:val="20"/>
                    </w:rPr>
                    <w:t>启动日期</w:t>
                  </w:r>
                </w:p>
              </w:tc>
              <w:tc>
                <w:tcPr>
                  <w:tcW w:w="769" w:type="dxa"/>
                  <w:vAlign w:val="center"/>
                </w:tcPr>
                <w:p>
                  <w:pPr>
                    <w:spacing w:line="240" w:lineRule="exact"/>
                    <w:rPr>
                      <w:sz w:val="20"/>
                    </w:rPr>
                  </w:pPr>
                  <w:r>
                    <w:rPr>
                      <w:rFonts w:hint="eastAsia"/>
                      <w:sz w:val="20"/>
                    </w:rPr>
                    <w:t>完成日期</w:t>
                  </w:r>
                </w:p>
              </w:tc>
              <w:tc>
                <w:tcPr>
                  <w:tcW w:w="551" w:type="dxa"/>
                  <w:vAlign w:val="center"/>
                </w:tcPr>
                <w:p>
                  <w:pPr>
                    <w:spacing w:line="240" w:lineRule="exact"/>
                    <w:rPr>
                      <w:sz w:val="20"/>
                    </w:rPr>
                  </w:pPr>
                  <w:r>
                    <w:rPr>
                      <w:rFonts w:hint="eastAsia"/>
                      <w:sz w:val="20"/>
                    </w:rPr>
                    <w:t>验证部门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446" w:type="dxa"/>
                  <w:tcBorders>
                    <w:left w:val="single" w:color="auto" w:sz="4" w:space="0"/>
                  </w:tcBorders>
                  <w:vAlign w:val="center"/>
                </w:tcPr>
                <w:p>
                  <w:pPr>
                    <w:spacing w:line="240" w:lineRule="exact"/>
                    <w:rPr>
                      <w:sz w:val="20"/>
                    </w:rPr>
                  </w:pPr>
                  <w:r>
                    <w:rPr>
                      <w:rFonts w:hint="eastAsia"/>
                      <w:sz w:val="20"/>
                    </w:rPr>
                    <w:t>1</w:t>
                  </w:r>
                </w:p>
              </w:tc>
              <w:tc>
                <w:tcPr>
                  <w:tcW w:w="715" w:type="dxa"/>
                  <w:tcBorders>
                    <w:left w:val="nil"/>
                  </w:tcBorders>
                  <w:vAlign w:val="center"/>
                </w:tcPr>
                <w:p>
                  <w:pPr>
                    <w:spacing w:line="240" w:lineRule="exact"/>
                    <w:rPr>
                      <w:sz w:val="20"/>
                    </w:rPr>
                  </w:pPr>
                  <w:r>
                    <w:rPr>
                      <w:rFonts w:hint="eastAsia"/>
                      <w:sz w:val="20"/>
                    </w:rPr>
                    <w:t>机械伤害</w:t>
                  </w:r>
                </w:p>
              </w:tc>
              <w:tc>
                <w:tcPr>
                  <w:tcW w:w="1017" w:type="dxa"/>
                  <w:vAlign w:val="center"/>
                </w:tcPr>
                <w:p>
                  <w:pPr>
                    <w:spacing w:line="240" w:lineRule="exact"/>
                    <w:rPr>
                      <w:sz w:val="20"/>
                    </w:rPr>
                  </w:pPr>
                  <w:r>
                    <w:rPr>
                      <w:rFonts w:hint="eastAsia"/>
                      <w:sz w:val="20"/>
                    </w:rPr>
                    <w:t>1)人身死亡事件</w:t>
                  </w:r>
                </w:p>
                <w:p>
                  <w:pPr>
                    <w:spacing w:line="240" w:lineRule="exact"/>
                    <w:rPr>
                      <w:sz w:val="20"/>
                    </w:rPr>
                  </w:pPr>
                  <w:r>
                    <w:rPr>
                      <w:rFonts w:hint="eastAsia"/>
                      <w:sz w:val="20"/>
                    </w:rPr>
                    <w:t>2)重伤事件</w:t>
                  </w:r>
                </w:p>
                <w:p>
                  <w:pPr>
                    <w:spacing w:line="240" w:lineRule="exact"/>
                    <w:rPr>
                      <w:sz w:val="20"/>
                    </w:rPr>
                  </w:pPr>
                  <w:r>
                    <w:rPr>
                      <w:rFonts w:hint="eastAsia"/>
                      <w:sz w:val="20"/>
                    </w:rPr>
                    <w:t>3)轻伤事件</w:t>
                  </w:r>
                </w:p>
              </w:tc>
              <w:tc>
                <w:tcPr>
                  <w:tcW w:w="551" w:type="dxa"/>
                  <w:vAlign w:val="center"/>
                </w:tcPr>
                <w:p>
                  <w:pPr>
                    <w:spacing w:line="240" w:lineRule="exact"/>
                    <w:rPr>
                      <w:sz w:val="20"/>
                    </w:rPr>
                  </w:pPr>
                  <w:r>
                    <w:rPr>
                      <w:rFonts w:hint="eastAsia"/>
                      <w:sz w:val="20"/>
                    </w:rPr>
                    <w:t>0</w:t>
                  </w:r>
                </w:p>
                <w:p>
                  <w:pPr>
                    <w:spacing w:line="240" w:lineRule="exact"/>
                    <w:rPr>
                      <w:sz w:val="20"/>
                    </w:rPr>
                  </w:pPr>
                  <w:r>
                    <w:rPr>
                      <w:rFonts w:hint="eastAsia"/>
                      <w:sz w:val="20"/>
                    </w:rPr>
                    <w:t>0</w:t>
                  </w:r>
                </w:p>
                <w:p>
                  <w:pPr>
                    <w:spacing w:line="240" w:lineRule="exact"/>
                    <w:rPr>
                      <w:sz w:val="20"/>
                    </w:rPr>
                  </w:pPr>
                  <w:r>
                    <w:rPr>
                      <w:rFonts w:hint="eastAsia"/>
                      <w:sz w:val="20"/>
                    </w:rPr>
                    <w:t>≤2‰</w:t>
                  </w:r>
                </w:p>
              </w:tc>
              <w:tc>
                <w:tcPr>
                  <w:tcW w:w="2949" w:type="dxa"/>
                  <w:vAlign w:val="center"/>
                </w:tcPr>
                <w:p>
                  <w:pPr>
                    <w:spacing w:line="240" w:lineRule="exact"/>
                    <w:rPr>
                      <w:sz w:val="20"/>
                    </w:rPr>
                  </w:pPr>
                  <w:r>
                    <w:rPr>
                      <w:rFonts w:hint="eastAsia"/>
                      <w:sz w:val="20"/>
                    </w:rPr>
                    <w:t>1)严格执行各种机械操作规程。</w:t>
                  </w:r>
                </w:p>
                <w:p>
                  <w:pPr>
                    <w:spacing w:line="240" w:lineRule="exact"/>
                    <w:rPr>
                      <w:sz w:val="20"/>
                    </w:rPr>
                  </w:pPr>
                  <w:r>
                    <w:rPr>
                      <w:rFonts w:hint="eastAsia"/>
                      <w:sz w:val="20"/>
                    </w:rPr>
                    <w:t>2)组织相关岗位人员培训学习并认真贯彻实施上述规定。</w:t>
                  </w:r>
                </w:p>
                <w:p>
                  <w:pPr>
                    <w:spacing w:line="240" w:lineRule="exact"/>
                    <w:rPr>
                      <w:sz w:val="20"/>
                    </w:rPr>
                  </w:pPr>
                  <w:r>
                    <w:rPr>
                      <w:rFonts w:hint="eastAsia"/>
                      <w:sz w:val="20"/>
                    </w:rPr>
                    <w:t>3)每日班前会步置和检查生产、质量、安全。</w:t>
                  </w:r>
                </w:p>
                <w:p>
                  <w:pPr>
                    <w:spacing w:line="240" w:lineRule="exact"/>
                    <w:rPr>
                      <w:sz w:val="20"/>
                    </w:rPr>
                  </w:pPr>
                  <w:r>
                    <w:rPr>
                      <w:rFonts w:hint="eastAsia"/>
                      <w:sz w:val="20"/>
                    </w:rPr>
                    <w:t>4)安全员每日检查,及时纠正违章操作行为。</w:t>
                  </w:r>
                </w:p>
                <w:p>
                  <w:pPr>
                    <w:spacing w:line="240" w:lineRule="exact"/>
                    <w:rPr>
                      <w:sz w:val="20"/>
                    </w:rPr>
                  </w:pPr>
                  <w:r>
                    <w:rPr>
                      <w:rFonts w:hint="eastAsia"/>
                      <w:sz w:val="20"/>
                    </w:rPr>
                    <w:t>5)加强安全防护,落实防护措施。</w:t>
                  </w:r>
                </w:p>
              </w:tc>
              <w:tc>
                <w:tcPr>
                  <w:tcW w:w="538" w:type="dxa"/>
                  <w:vAlign w:val="center"/>
                </w:tcPr>
                <w:p>
                  <w:pPr>
                    <w:spacing w:line="240" w:lineRule="exact"/>
                    <w:rPr>
                      <w:sz w:val="20"/>
                    </w:rPr>
                  </w:pPr>
                  <w:r>
                    <w:rPr>
                      <w:rFonts w:hint="eastAsia"/>
                      <w:sz w:val="20"/>
                    </w:rPr>
                    <w:t>生产部</w:t>
                  </w:r>
                </w:p>
              </w:tc>
              <w:tc>
                <w:tcPr>
                  <w:tcW w:w="638" w:type="dxa"/>
                  <w:vAlign w:val="center"/>
                </w:tcPr>
                <w:p>
                  <w:pPr>
                    <w:spacing w:line="240" w:lineRule="exact"/>
                    <w:rPr>
                      <w:sz w:val="20"/>
                    </w:rPr>
                  </w:pPr>
                  <w:r>
                    <w:rPr>
                      <w:rFonts w:hint="eastAsia"/>
                      <w:sz w:val="20"/>
                    </w:rPr>
                    <w:t>孙千运</w:t>
                  </w:r>
                </w:p>
              </w:tc>
              <w:tc>
                <w:tcPr>
                  <w:tcW w:w="679" w:type="dxa"/>
                  <w:vAlign w:val="center"/>
                </w:tcPr>
                <w:p>
                  <w:pPr>
                    <w:spacing w:line="240" w:lineRule="exact"/>
                    <w:rPr>
                      <w:sz w:val="20"/>
                    </w:rPr>
                  </w:pPr>
                  <w:r>
                    <w:rPr>
                      <w:rFonts w:hint="eastAsia"/>
                      <w:sz w:val="20"/>
                    </w:rPr>
                    <w:t>8000元</w:t>
                  </w:r>
                </w:p>
              </w:tc>
              <w:tc>
                <w:tcPr>
                  <w:tcW w:w="786"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769" w:type="dxa"/>
                  <w:vAlign w:val="center"/>
                </w:tcPr>
                <w:p>
                  <w:pPr>
                    <w:spacing w:line="240" w:lineRule="exact"/>
                    <w:rPr>
                      <w:sz w:val="20"/>
                    </w:rPr>
                  </w:pPr>
                  <w:r>
                    <w:rPr>
                      <w:rFonts w:hint="eastAsia"/>
                      <w:sz w:val="20"/>
                    </w:rPr>
                    <w:t>2021.</w:t>
                  </w:r>
                  <w:r>
                    <w:rPr>
                      <w:rFonts w:hint="eastAsia"/>
                      <w:sz w:val="20"/>
                      <w:lang w:val="en-US" w:eastAsia="zh-CN"/>
                    </w:rPr>
                    <w:t>9.30</w:t>
                  </w:r>
                </w:p>
              </w:tc>
              <w:tc>
                <w:tcPr>
                  <w:tcW w:w="551"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446" w:type="dxa"/>
                  <w:tcBorders>
                    <w:left w:val="single" w:color="auto" w:sz="4" w:space="0"/>
                  </w:tcBorders>
                  <w:vAlign w:val="center"/>
                </w:tcPr>
                <w:p>
                  <w:pPr>
                    <w:spacing w:line="240" w:lineRule="exact"/>
                    <w:rPr>
                      <w:sz w:val="20"/>
                    </w:rPr>
                  </w:pPr>
                  <w:r>
                    <w:rPr>
                      <w:rFonts w:hint="eastAsia"/>
                      <w:sz w:val="20"/>
                    </w:rPr>
                    <w:t>2</w:t>
                  </w:r>
                </w:p>
              </w:tc>
              <w:tc>
                <w:tcPr>
                  <w:tcW w:w="715" w:type="dxa"/>
                  <w:tcBorders>
                    <w:left w:val="nil"/>
                  </w:tcBorders>
                  <w:vAlign w:val="center"/>
                </w:tcPr>
                <w:p>
                  <w:pPr>
                    <w:spacing w:line="240" w:lineRule="exact"/>
                    <w:rPr>
                      <w:sz w:val="20"/>
                    </w:rPr>
                  </w:pPr>
                  <w:r>
                    <w:rPr>
                      <w:rFonts w:hint="eastAsia"/>
                      <w:sz w:val="20"/>
                    </w:rPr>
                    <w:t>触电伤害</w:t>
                  </w:r>
                </w:p>
              </w:tc>
              <w:tc>
                <w:tcPr>
                  <w:tcW w:w="1017" w:type="dxa"/>
                  <w:vAlign w:val="center"/>
                </w:tcPr>
                <w:p>
                  <w:pPr>
                    <w:spacing w:line="240" w:lineRule="exact"/>
                    <w:rPr>
                      <w:sz w:val="20"/>
                    </w:rPr>
                  </w:pPr>
                  <w:r>
                    <w:rPr>
                      <w:rFonts w:hint="eastAsia"/>
                      <w:sz w:val="20"/>
                    </w:rPr>
                    <w:t>1))人身死亡事件</w:t>
                  </w:r>
                </w:p>
                <w:p>
                  <w:pPr>
                    <w:spacing w:line="240" w:lineRule="exact"/>
                    <w:rPr>
                      <w:sz w:val="20"/>
                    </w:rPr>
                  </w:pPr>
                  <w:r>
                    <w:rPr>
                      <w:rFonts w:hint="eastAsia"/>
                      <w:sz w:val="20"/>
                    </w:rPr>
                    <w:t>2)重伤事件</w:t>
                  </w:r>
                </w:p>
                <w:p>
                  <w:pPr>
                    <w:spacing w:line="240" w:lineRule="exact"/>
                    <w:rPr>
                      <w:sz w:val="20"/>
                    </w:rPr>
                  </w:pPr>
                  <w:r>
                    <w:rPr>
                      <w:rFonts w:hint="eastAsia"/>
                      <w:sz w:val="20"/>
                    </w:rPr>
                    <w:t>3)轻伤事件</w:t>
                  </w:r>
                </w:p>
              </w:tc>
              <w:tc>
                <w:tcPr>
                  <w:tcW w:w="551" w:type="dxa"/>
                  <w:vAlign w:val="center"/>
                </w:tcPr>
                <w:p>
                  <w:pPr>
                    <w:spacing w:line="240" w:lineRule="exact"/>
                    <w:rPr>
                      <w:sz w:val="20"/>
                    </w:rPr>
                  </w:pPr>
                  <w:r>
                    <w:rPr>
                      <w:rFonts w:hint="eastAsia"/>
                      <w:sz w:val="20"/>
                    </w:rPr>
                    <w:t>0</w:t>
                  </w:r>
                </w:p>
                <w:p>
                  <w:pPr>
                    <w:spacing w:line="240" w:lineRule="exact"/>
                    <w:rPr>
                      <w:sz w:val="20"/>
                    </w:rPr>
                  </w:pPr>
                  <w:r>
                    <w:rPr>
                      <w:rFonts w:hint="eastAsia"/>
                      <w:sz w:val="20"/>
                    </w:rPr>
                    <w:t>0</w:t>
                  </w:r>
                </w:p>
                <w:p>
                  <w:pPr>
                    <w:spacing w:line="240" w:lineRule="exact"/>
                    <w:rPr>
                      <w:sz w:val="20"/>
                    </w:rPr>
                  </w:pPr>
                  <w:r>
                    <w:rPr>
                      <w:rFonts w:hint="eastAsia"/>
                      <w:sz w:val="20"/>
                    </w:rPr>
                    <w:t>1‰</w:t>
                  </w:r>
                </w:p>
              </w:tc>
              <w:tc>
                <w:tcPr>
                  <w:tcW w:w="2949" w:type="dxa"/>
                  <w:vAlign w:val="center"/>
                </w:tcPr>
                <w:p>
                  <w:pPr>
                    <w:spacing w:line="240" w:lineRule="exact"/>
                    <w:rPr>
                      <w:sz w:val="20"/>
                    </w:rPr>
                  </w:pPr>
                  <w:r>
                    <w:rPr>
                      <w:rFonts w:hint="eastAsia"/>
                      <w:sz w:val="20"/>
                    </w:rPr>
                    <w:t>1）控电箱实施100%上锁及挂牌的安全管理；</w:t>
                  </w:r>
                </w:p>
                <w:p>
                  <w:pPr>
                    <w:spacing w:line="240" w:lineRule="exact"/>
                    <w:rPr>
                      <w:sz w:val="20"/>
                    </w:rPr>
                  </w:pPr>
                  <w:r>
                    <w:rPr>
                      <w:rFonts w:hint="eastAsia"/>
                      <w:sz w:val="20"/>
                    </w:rPr>
                    <w:t>2）确保每年对现场作业人员至少进行一次用电知识培训；</w:t>
                  </w:r>
                </w:p>
                <w:p>
                  <w:pPr>
                    <w:spacing w:line="240" w:lineRule="exact"/>
                    <w:rPr>
                      <w:sz w:val="20"/>
                    </w:rPr>
                  </w:pPr>
                  <w:r>
                    <w:rPr>
                      <w:rFonts w:hint="eastAsia"/>
                      <w:sz w:val="20"/>
                    </w:rPr>
                    <w:t>3）每日班前会步置和检查生产、质量、安全；</w:t>
                  </w:r>
                </w:p>
                <w:p>
                  <w:pPr>
                    <w:spacing w:line="240" w:lineRule="exact"/>
                    <w:rPr>
                      <w:sz w:val="20"/>
                    </w:rPr>
                  </w:pPr>
                  <w:r>
                    <w:rPr>
                      <w:rFonts w:hint="eastAsia"/>
                      <w:sz w:val="20"/>
                    </w:rPr>
                    <w:t>4）各种用电机械必须做到保护接零,确保操作安全。</w:t>
                  </w:r>
                </w:p>
              </w:tc>
              <w:tc>
                <w:tcPr>
                  <w:tcW w:w="538" w:type="dxa"/>
                  <w:vAlign w:val="center"/>
                </w:tcPr>
                <w:p>
                  <w:pPr>
                    <w:spacing w:line="240" w:lineRule="exact"/>
                    <w:rPr>
                      <w:sz w:val="20"/>
                    </w:rPr>
                  </w:pPr>
                  <w:r>
                    <w:rPr>
                      <w:rFonts w:hint="eastAsia"/>
                      <w:sz w:val="20"/>
                    </w:rPr>
                    <w:t>各部门</w:t>
                  </w:r>
                </w:p>
              </w:tc>
              <w:tc>
                <w:tcPr>
                  <w:tcW w:w="638" w:type="dxa"/>
                  <w:vAlign w:val="center"/>
                </w:tcPr>
                <w:p>
                  <w:pPr>
                    <w:spacing w:line="240" w:lineRule="exact"/>
                    <w:rPr>
                      <w:sz w:val="20"/>
                    </w:rPr>
                  </w:pPr>
                  <w:r>
                    <w:rPr>
                      <w:rFonts w:hint="eastAsia"/>
                      <w:sz w:val="20"/>
                    </w:rPr>
                    <w:t>各部门负责人</w:t>
                  </w:r>
                </w:p>
              </w:tc>
              <w:tc>
                <w:tcPr>
                  <w:tcW w:w="679" w:type="dxa"/>
                  <w:vAlign w:val="center"/>
                </w:tcPr>
                <w:p>
                  <w:pPr>
                    <w:spacing w:line="240" w:lineRule="exact"/>
                    <w:rPr>
                      <w:sz w:val="20"/>
                    </w:rPr>
                  </w:pPr>
                  <w:r>
                    <w:rPr>
                      <w:rFonts w:hint="eastAsia"/>
                      <w:sz w:val="20"/>
                    </w:rPr>
                    <w:t>3000元</w:t>
                  </w:r>
                </w:p>
              </w:tc>
              <w:tc>
                <w:tcPr>
                  <w:tcW w:w="786"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769" w:type="dxa"/>
                  <w:vAlign w:val="center"/>
                </w:tcPr>
                <w:p>
                  <w:pPr>
                    <w:spacing w:line="240" w:lineRule="exact"/>
                    <w:rPr>
                      <w:sz w:val="20"/>
                    </w:rPr>
                  </w:pPr>
                  <w:r>
                    <w:rPr>
                      <w:rFonts w:hint="eastAsia"/>
                      <w:sz w:val="20"/>
                    </w:rPr>
                    <w:t>2021.</w:t>
                  </w:r>
                  <w:r>
                    <w:rPr>
                      <w:rFonts w:hint="eastAsia"/>
                      <w:sz w:val="20"/>
                      <w:lang w:val="en-US" w:eastAsia="zh-CN"/>
                    </w:rPr>
                    <w:t>9.30</w:t>
                  </w:r>
                </w:p>
              </w:tc>
              <w:tc>
                <w:tcPr>
                  <w:tcW w:w="551"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46" w:type="dxa"/>
                  <w:tcBorders>
                    <w:left w:val="single" w:color="auto" w:sz="4" w:space="0"/>
                  </w:tcBorders>
                  <w:vAlign w:val="center"/>
                </w:tcPr>
                <w:p>
                  <w:pPr>
                    <w:spacing w:line="240" w:lineRule="exact"/>
                    <w:rPr>
                      <w:sz w:val="20"/>
                    </w:rPr>
                  </w:pPr>
                  <w:r>
                    <w:rPr>
                      <w:rFonts w:hint="eastAsia"/>
                      <w:sz w:val="20"/>
                    </w:rPr>
                    <w:t>3</w:t>
                  </w:r>
                </w:p>
              </w:tc>
              <w:tc>
                <w:tcPr>
                  <w:tcW w:w="715" w:type="dxa"/>
                  <w:tcBorders>
                    <w:left w:val="nil"/>
                  </w:tcBorders>
                  <w:vAlign w:val="center"/>
                </w:tcPr>
                <w:p>
                  <w:pPr>
                    <w:spacing w:line="240" w:lineRule="exact"/>
                    <w:rPr>
                      <w:sz w:val="20"/>
                    </w:rPr>
                  </w:pPr>
                  <w:r>
                    <w:rPr>
                      <w:rFonts w:hint="eastAsia"/>
                      <w:sz w:val="20"/>
                    </w:rPr>
                    <w:t>人身伤害</w:t>
                  </w:r>
                </w:p>
              </w:tc>
              <w:tc>
                <w:tcPr>
                  <w:tcW w:w="1017" w:type="dxa"/>
                  <w:vAlign w:val="center"/>
                </w:tcPr>
                <w:p>
                  <w:pPr>
                    <w:spacing w:line="240" w:lineRule="exact"/>
                    <w:rPr>
                      <w:sz w:val="20"/>
                    </w:rPr>
                  </w:pPr>
                  <w:r>
                    <w:rPr>
                      <w:rFonts w:hint="eastAsia"/>
                      <w:sz w:val="20"/>
                    </w:rPr>
                    <w:t>职业病危害</w:t>
                  </w:r>
                </w:p>
              </w:tc>
              <w:tc>
                <w:tcPr>
                  <w:tcW w:w="551" w:type="dxa"/>
                  <w:vAlign w:val="center"/>
                </w:tcPr>
                <w:p>
                  <w:pPr>
                    <w:spacing w:line="240" w:lineRule="exact"/>
                    <w:rPr>
                      <w:sz w:val="20"/>
                    </w:rPr>
                  </w:pPr>
                </w:p>
                <w:p>
                  <w:pPr>
                    <w:spacing w:line="240" w:lineRule="exact"/>
                    <w:rPr>
                      <w:sz w:val="20"/>
                    </w:rPr>
                  </w:pPr>
                  <w:r>
                    <w:rPr>
                      <w:rFonts w:hint="eastAsia"/>
                      <w:sz w:val="20"/>
                    </w:rPr>
                    <w:t>0</w:t>
                  </w:r>
                </w:p>
                <w:p>
                  <w:pPr>
                    <w:spacing w:line="240" w:lineRule="exact"/>
                    <w:rPr>
                      <w:sz w:val="20"/>
                    </w:rPr>
                  </w:pPr>
                </w:p>
              </w:tc>
              <w:tc>
                <w:tcPr>
                  <w:tcW w:w="2949" w:type="dxa"/>
                  <w:vAlign w:val="center"/>
                </w:tcPr>
                <w:p>
                  <w:pPr>
                    <w:spacing w:line="240" w:lineRule="exact"/>
                    <w:rPr>
                      <w:sz w:val="20"/>
                    </w:rPr>
                  </w:pPr>
                  <w:r>
                    <w:rPr>
                      <w:rFonts w:hint="eastAsia"/>
                      <w:sz w:val="20"/>
                    </w:rPr>
                    <w:t>加工区粉尘：车间和皮带运输设备封闭处理+湿法作业+集气罩+布袋除尘+15m高排气筒；</w:t>
                  </w:r>
                </w:p>
                <w:p>
                  <w:pPr>
                    <w:spacing w:line="240" w:lineRule="exact"/>
                    <w:rPr>
                      <w:sz w:val="20"/>
                    </w:rPr>
                  </w:pPr>
                  <w:r>
                    <w:rPr>
                      <w:rFonts w:hint="eastAsia"/>
                      <w:sz w:val="20"/>
                    </w:rPr>
                    <w:t>采矿区粉尘：在矿石开采作业中，采用打眼爆破的方式，在爆破后粒径较大的粉尘在约4分钟内沉降；</w:t>
                  </w:r>
                </w:p>
                <w:p>
                  <w:pPr>
                    <w:spacing w:line="240" w:lineRule="exact"/>
                    <w:rPr>
                      <w:sz w:val="20"/>
                    </w:rPr>
                  </w:pPr>
                  <w:r>
                    <w:rPr>
                      <w:rFonts w:hint="eastAsia"/>
                      <w:sz w:val="20"/>
                    </w:rPr>
                    <w:t>排土场粉尘及运输粉尘：加强矿区洒水抑尘，降低车速；</w:t>
                  </w:r>
                </w:p>
                <w:p>
                  <w:pPr>
                    <w:spacing w:line="240" w:lineRule="exact"/>
                    <w:rPr>
                      <w:sz w:val="20"/>
                    </w:rPr>
                  </w:pPr>
                  <w:r>
                    <w:rPr>
                      <w:rFonts w:hint="eastAsia"/>
                      <w:sz w:val="20"/>
                    </w:rPr>
                    <w:t>噪声：选取低噪音设备、加强设备维护保养、高噪声设备隔音减震。</w:t>
                  </w:r>
                </w:p>
              </w:tc>
              <w:tc>
                <w:tcPr>
                  <w:tcW w:w="538" w:type="dxa"/>
                  <w:vAlign w:val="center"/>
                </w:tcPr>
                <w:p>
                  <w:pPr>
                    <w:spacing w:line="240" w:lineRule="exact"/>
                    <w:rPr>
                      <w:sz w:val="20"/>
                    </w:rPr>
                  </w:pPr>
                  <w:r>
                    <w:rPr>
                      <w:rFonts w:hint="eastAsia"/>
                      <w:sz w:val="20"/>
                    </w:rPr>
                    <w:t>生产部</w:t>
                  </w:r>
                </w:p>
              </w:tc>
              <w:tc>
                <w:tcPr>
                  <w:tcW w:w="638" w:type="dxa"/>
                  <w:vAlign w:val="center"/>
                </w:tcPr>
                <w:p>
                  <w:pPr>
                    <w:spacing w:line="240" w:lineRule="exact"/>
                    <w:rPr>
                      <w:sz w:val="20"/>
                    </w:rPr>
                  </w:pPr>
                  <w:r>
                    <w:rPr>
                      <w:rFonts w:hint="eastAsia"/>
                      <w:sz w:val="20"/>
                    </w:rPr>
                    <w:t>孙千运</w:t>
                  </w:r>
                </w:p>
              </w:tc>
              <w:tc>
                <w:tcPr>
                  <w:tcW w:w="679" w:type="dxa"/>
                  <w:vAlign w:val="center"/>
                </w:tcPr>
                <w:p>
                  <w:pPr>
                    <w:spacing w:line="240" w:lineRule="exact"/>
                    <w:rPr>
                      <w:sz w:val="20"/>
                    </w:rPr>
                  </w:pPr>
                  <w:r>
                    <w:rPr>
                      <w:rFonts w:hint="eastAsia"/>
                      <w:sz w:val="20"/>
                    </w:rPr>
                    <w:t>50000元</w:t>
                  </w:r>
                </w:p>
              </w:tc>
              <w:tc>
                <w:tcPr>
                  <w:tcW w:w="786"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769" w:type="dxa"/>
                  <w:vAlign w:val="center"/>
                </w:tcPr>
                <w:p>
                  <w:pPr>
                    <w:spacing w:line="240" w:lineRule="exact"/>
                    <w:rPr>
                      <w:sz w:val="20"/>
                    </w:rPr>
                  </w:pPr>
                  <w:r>
                    <w:rPr>
                      <w:rFonts w:hint="eastAsia"/>
                      <w:sz w:val="20"/>
                    </w:rPr>
                    <w:t>2021.</w:t>
                  </w:r>
                  <w:r>
                    <w:rPr>
                      <w:rFonts w:hint="eastAsia"/>
                      <w:sz w:val="20"/>
                      <w:lang w:val="en-US" w:eastAsia="zh-CN"/>
                    </w:rPr>
                    <w:t>9.30</w:t>
                  </w:r>
                </w:p>
              </w:tc>
              <w:tc>
                <w:tcPr>
                  <w:tcW w:w="551"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46" w:type="dxa"/>
                  <w:tcBorders>
                    <w:left w:val="single" w:color="auto" w:sz="4" w:space="0"/>
                  </w:tcBorders>
                  <w:vAlign w:val="center"/>
                </w:tcPr>
                <w:p>
                  <w:pPr>
                    <w:spacing w:line="240" w:lineRule="exact"/>
                    <w:rPr>
                      <w:sz w:val="20"/>
                    </w:rPr>
                  </w:pPr>
                  <w:r>
                    <w:rPr>
                      <w:rFonts w:hint="eastAsia"/>
                      <w:sz w:val="20"/>
                    </w:rPr>
                    <w:t>4</w:t>
                  </w:r>
                </w:p>
              </w:tc>
              <w:tc>
                <w:tcPr>
                  <w:tcW w:w="715" w:type="dxa"/>
                  <w:tcBorders>
                    <w:left w:val="nil"/>
                  </w:tcBorders>
                  <w:vAlign w:val="center"/>
                </w:tcPr>
                <w:p>
                  <w:pPr>
                    <w:spacing w:line="240" w:lineRule="exact"/>
                    <w:rPr>
                      <w:sz w:val="20"/>
                    </w:rPr>
                  </w:pPr>
                  <w:r>
                    <w:rPr>
                      <w:rFonts w:hint="eastAsia"/>
                      <w:sz w:val="20"/>
                    </w:rPr>
                    <w:t>火灾伤害</w:t>
                  </w:r>
                </w:p>
              </w:tc>
              <w:tc>
                <w:tcPr>
                  <w:tcW w:w="1017" w:type="dxa"/>
                  <w:vAlign w:val="center"/>
                </w:tcPr>
                <w:p>
                  <w:pPr>
                    <w:spacing w:line="240" w:lineRule="exact"/>
                    <w:rPr>
                      <w:sz w:val="20"/>
                    </w:rPr>
                  </w:pPr>
                  <w:r>
                    <w:rPr>
                      <w:rFonts w:hint="eastAsia"/>
                      <w:sz w:val="20"/>
                    </w:rPr>
                    <w:t>1)火灾事故</w:t>
                  </w:r>
                </w:p>
                <w:p>
                  <w:pPr>
                    <w:spacing w:line="240" w:lineRule="exact"/>
                    <w:rPr>
                      <w:sz w:val="20"/>
                    </w:rPr>
                  </w:pPr>
                  <w:r>
                    <w:rPr>
                      <w:rFonts w:hint="eastAsia"/>
                      <w:sz w:val="20"/>
                    </w:rPr>
                    <w:t>2)人身死亡事件</w:t>
                  </w:r>
                </w:p>
              </w:tc>
              <w:tc>
                <w:tcPr>
                  <w:tcW w:w="551" w:type="dxa"/>
                  <w:vAlign w:val="center"/>
                </w:tcPr>
                <w:p>
                  <w:pPr>
                    <w:spacing w:line="240" w:lineRule="exact"/>
                    <w:rPr>
                      <w:sz w:val="20"/>
                    </w:rPr>
                  </w:pPr>
                  <w:r>
                    <w:rPr>
                      <w:rFonts w:hint="eastAsia"/>
                      <w:sz w:val="20"/>
                    </w:rPr>
                    <w:t>0</w:t>
                  </w:r>
                </w:p>
                <w:p>
                  <w:pPr>
                    <w:spacing w:line="240" w:lineRule="exact"/>
                    <w:rPr>
                      <w:sz w:val="20"/>
                    </w:rPr>
                  </w:pPr>
                  <w:r>
                    <w:rPr>
                      <w:rFonts w:hint="eastAsia"/>
                      <w:sz w:val="20"/>
                    </w:rPr>
                    <w:t>0</w:t>
                  </w:r>
                </w:p>
              </w:tc>
              <w:tc>
                <w:tcPr>
                  <w:tcW w:w="2949" w:type="dxa"/>
                  <w:vAlign w:val="center"/>
                </w:tcPr>
                <w:p>
                  <w:pPr>
                    <w:spacing w:line="240" w:lineRule="exact"/>
                    <w:rPr>
                      <w:sz w:val="20"/>
                    </w:rPr>
                  </w:pPr>
                  <w:r>
                    <w:rPr>
                      <w:rFonts w:hint="eastAsia"/>
                      <w:sz w:val="20"/>
                    </w:rPr>
                    <w:t>1）建立应急预案，定期检查和维护相关机械设备设施；</w:t>
                  </w:r>
                </w:p>
                <w:p>
                  <w:pPr>
                    <w:spacing w:line="240" w:lineRule="exact"/>
                    <w:rPr>
                      <w:sz w:val="20"/>
                    </w:rPr>
                  </w:pPr>
                  <w:r>
                    <w:rPr>
                      <w:rFonts w:hint="eastAsia"/>
                      <w:sz w:val="20"/>
                    </w:rPr>
                    <w:t>2）制定消防演习计划，并定期组织消防演练；</w:t>
                  </w:r>
                </w:p>
                <w:p>
                  <w:pPr>
                    <w:spacing w:line="240" w:lineRule="exact"/>
                    <w:rPr>
                      <w:sz w:val="20"/>
                    </w:rPr>
                  </w:pPr>
                  <w:r>
                    <w:rPr>
                      <w:rFonts w:hint="eastAsia"/>
                      <w:sz w:val="20"/>
                    </w:rPr>
                    <w:t>3）制定火灾应急救援预案；</w:t>
                  </w:r>
                </w:p>
                <w:p>
                  <w:pPr>
                    <w:spacing w:line="240" w:lineRule="exact"/>
                    <w:rPr>
                      <w:sz w:val="20"/>
                    </w:rPr>
                  </w:pPr>
                  <w:r>
                    <w:rPr>
                      <w:rFonts w:hint="eastAsia"/>
                      <w:sz w:val="20"/>
                    </w:rPr>
                    <w:t>4）配备充足和有效的消防设施，并定期进行点检。</w:t>
                  </w:r>
                </w:p>
              </w:tc>
              <w:tc>
                <w:tcPr>
                  <w:tcW w:w="538" w:type="dxa"/>
                  <w:vAlign w:val="center"/>
                </w:tcPr>
                <w:p>
                  <w:pPr>
                    <w:spacing w:line="240" w:lineRule="exact"/>
                    <w:rPr>
                      <w:sz w:val="20"/>
                    </w:rPr>
                  </w:pPr>
                  <w:r>
                    <w:rPr>
                      <w:rFonts w:hint="eastAsia"/>
                      <w:sz w:val="20"/>
                    </w:rPr>
                    <w:t>各部门</w:t>
                  </w:r>
                </w:p>
              </w:tc>
              <w:tc>
                <w:tcPr>
                  <w:tcW w:w="638" w:type="dxa"/>
                  <w:vAlign w:val="center"/>
                </w:tcPr>
                <w:p>
                  <w:pPr>
                    <w:spacing w:line="240" w:lineRule="exact"/>
                    <w:rPr>
                      <w:sz w:val="20"/>
                    </w:rPr>
                  </w:pPr>
                  <w:r>
                    <w:rPr>
                      <w:rFonts w:hint="eastAsia"/>
                      <w:sz w:val="20"/>
                    </w:rPr>
                    <w:t xml:space="preserve">各部门负责人 </w:t>
                  </w:r>
                </w:p>
              </w:tc>
              <w:tc>
                <w:tcPr>
                  <w:tcW w:w="679" w:type="dxa"/>
                  <w:vAlign w:val="center"/>
                </w:tcPr>
                <w:p>
                  <w:pPr>
                    <w:spacing w:line="240" w:lineRule="exact"/>
                    <w:rPr>
                      <w:sz w:val="20"/>
                    </w:rPr>
                  </w:pPr>
                  <w:r>
                    <w:rPr>
                      <w:rFonts w:hint="eastAsia"/>
                      <w:sz w:val="20"/>
                    </w:rPr>
                    <w:t>10000元</w:t>
                  </w:r>
                </w:p>
              </w:tc>
              <w:tc>
                <w:tcPr>
                  <w:tcW w:w="786" w:type="dxa"/>
                  <w:vAlign w:val="center"/>
                </w:tcPr>
                <w:p>
                  <w:pPr>
                    <w:spacing w:line="240" w:lineRule="exact"/>
                    <w:rPr>
                      <w:sz w:val="20"/>
                    </w:rPr>
                  </w:pPr>
                  <w:r>
                    <w:rPr>
                      <w:rFonts w:hint="eastAsia"/>
                      <w:sz w:val="20"/>
                    </w:rPr>
                    <w:t>202</w:t>
                  </w:r>
                  <w:r>
                    <w:rPr>
                      <w:rFonts w:hint="eastAsia"/>
                      <w:sz w:val="20"/>
                      <w:lang w:val="en-US" w:eastAsia="zh-CN"/>
                    </w:rPr>
                    <w:t>1.1.1.</w:t>
                  </w:r>
                  <w:r>
                    <w:rPr>
                      <w:rFonts w:hint="eastAsia"/>
                      <w:sz w:val="20"/>
                    </w:rPr>
                    <w:t xml:space="preserve">  </w:t>
                  </w:r>
                </w:p>
              </w:tc>
              <w:tc>
                <w:tcPr>
                  <w:tcW w:w="769" w:type="dxa"/>
                  <w:vAlign w:val="center"/>
                </w:tcPr>
                <w:p>
                  <w:pPr>
                    <w:spacing w:line="240" w:lineRule="exact"/>
                    <w:rPr>
                      <w:sz w:val="20"/>
                    </w:rPr>
                  </w:pPr>
                  <w:r>
                    <w:rPr>
                      <w:rFonts w:hint="eastAsia"/>
                      <w:sz w:val="20"/>
                    </w:rPr>
                    <w:t>2021.</w:t>
                  </w:r>
                  <w:r>
                    <w:rPr>
                      <w:rFonts w:hint="eastAsia"/>
                      <w:sz w:val="20"/>
                      <w:lang w:val="en-US" w:eastAsia="zh-CN"/>
                    </w:rPr>
                    <w:t>9.30</w:t>
                  </w:r>
                </w:p>
              </w:tc>
              <w:tc>
                <w:tcPr>
                  <w:tcW w:w="551" w:type="dxa"/>
                  <w:vAlign w:val="center"/>
                </w:tcPr>
                <w:p>
                  <w:pPr>
                    <w:spacing w:line="240" w:lineRule="exact"/>
                    <w:rPr>
                      <w:sz w:val="20"/>
                    </w:rPr>
                  </w:pPr>
                  <w:r>
                    <w:rPr>
                      <w:rFonts w:hint="eastAsia"/>
                      <w:sz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46" w:type="dxa"/>
                  <w:tcBorders>
                    <w:left w:val="single" w:color="auto" w:sz="4"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5</w:t>
                  </w:r>
                </w:p>
              </w:tc>
              <w:tc>
                <w:tcPr>
                  <w:tcW w:w="715" w:type="dxa"/>
                  <w:tcBorders>
                    <w:left w:val="nil"/>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爆破防护不当</w:t>
                  </w:r>
                </w:p>
              </w:tc>
              <w:tc>
                <w:tcPr>
                  <w:tcW w:w="10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人身死亡事件</w:t>
                  </w:r>
                </w:p>
              </w:tc>
              <w:tc>
                <w:tcPr>
                  <w:tcW w:w="551" w:type="dxa"/>
                  <w:vAlign w:val="center"/>
                </w:tcPr>
                <w:p>
                  <w:pPr>
                    <w:widowControl/>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2949" w:type="dxa"/>
                  <w:vAlign w:val="center"/>
                </w:tcPr>
                <w:p>
                  <w:pPr>
                    <w:pStyle w:val="15"/>
                    <w:numPr>
                      <w:ilvl w:val="0"/>
                      <w:numId w:val="1"/>
                    </w:numPr>
                    <w:spacing w:line="240" w:lineRule="exact"/>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委托有资质的单位进行爆破；</w:t>
                  </w:r>
                </w:p>
                <w:p>
                  <w:pPr>
                    <w:pStyle w:val="15"/>
                    <w:numPr>
                      <w:ilvl w:val="0"/>
                      <w:numId w:val="1"/>
                    </w:numPr>
                    <w:spacing w:line="240" w:lineRule="exact"/>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设定不小于300米的安全距离；</w:t>
                  </w:r>
                </w:p>
                <w:p>
                  <w:pPr>
                    <w:pStyle w:val="15"/>
                    <w:numPr>
                      <w:ilvl w:val="0"/>
                      <w:numId w:val="1"/>
                    </w:numPr>
                    <w:spacing w:line="240" w:lineRule="exact"/>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制定人身伤害应急救援预案；</w:t>
                  </w:r>
                </w:p>
              </w:tc>
              <w:tc>
                <w:tcPr>
                  <w:tcW w:w="5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生产部</w:t>
                  </w:r>
                </w:p>
              </w:tc>
              <w:tc>
                <w:tcPr>
                  <w:tcW w:w="638"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孙千运</w:t>
                  </w:r>
                </w:p>
              </w:tc>
              <w:tc>
                <w:tcPr>
                  <w:tcW w:w="679"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8000元</w:t>
                  </w:r>
                </w:p>
              </w:tc>
              <w:tc>
                <w:tcPr>
                  <w:tcW w:w="786" w:type="dxa"/>
                  <w:vAlign w:val="center"/>
                </w:tcPr>
                <w:p>
                  <w:pPr>
                    <w:spacing w:line="240" w:lineRule="exact"/>
                    <w:rPr>
                      <w:rFonts w:asciiTheme="minorEastAsia" w:hAnsiTheme="minorEastAsia" w:eastAsiaTheme="minorEastAsia"/>
                      <w:sz w:val="20"/>
                    </w:rPr>
                  </w:pPr>
                  <w:r>
                    <w:rPr>
                      <w:rFonts w:hint="eastAsia"/>
                      <w:sz w:val="20"/>
                    </w:rPr>
                    <w:t>202</w:t>
                  </w:r>
                  <w:r>
                    <w:rPr>
                      <w:rFonts w:hint="eastAsia"/>
                      <w:sz w:val="20"/>
                      <w:lang w:val="en-US" w:eastAsia="zh-CN"/>
                    </w:rPr>
                    <w:t>1.1.1.</w:t>
                  </w:r>
                  <w:r>
                    <w:rPr>
                      <w:rFonts w:hint="eastAsia"/>
                      <w:sz w:val="20"/>
                    </w:rPr>
                    <w:t xml:space="preserve"> </w:t>
                  </w:r>
                  <w:r>
                    <w:rPr>
                      <w:rFonts w:hint="eastAsia" w:asciiTheme="minorEastAsia" w:hAnsiTheme="minorEastAsia" w:eastAsiaTheme="minorEastAsia"/>
                      <w:sz w:val="20"/>
                    </w:rPr>
                    <w:t xml:space="preserve"> </w:t>
                  </w:r>
                </w:p>
              </w:tc>
              <w:tc>
                <w:tcPr>
                  <w:tcW w:w="769" w:type="dxa"/>
                  <w:vAlign w:val="center"/>
                </w:tcPr>
                <w:p>
                  <w:pPr>
                    <w:spacing w:line="240" w:lineRule="exact"/>
                    <w:rPr>
                      <w:rFonts w:asciiTheme="minorEastAsia" w:hAnsiTheme="minorEastAsia" w:eastAsiaTheme="minorEastAsia"/>
                      <w:sz w:val="20"/>
                    </w:rPr>
                  </w:pPr>
                  <w:r>
                    <w:rPr>
                      <w:rFonts w:hint="eastAsia"/>
                      <w:sz w:val="20"/>
                    </w:rPr>
                    <w:t>2021.</w:t>
                  </w:r>
                  <w:r>
                    <w:rPr>
                      <w:rFonts w:hint="eastAsia"/>
                      <w:sz w:val="20"/>
                      <w:lang w:val="en-US" w:eastAsia="zh-CN"/>
                    </w:rPr>
                    <w:t>9.30</w:t>
                  </w:r>
                </w:p>
              </w:tc>
              <w:tc>
                <w:tcPr>
                  <w:tcW w:w="551"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46" w:type="dxa"/>
                  <w:tcBorders>
                    <w:left w:val="single" w:color="auto" w:sz="4"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6</w:t>
                  </w:r>
                </w:p>
              </w:tc>
              <w:tc>
                <w:tcPr>
                  <w:tcW w:w="715" w:type="dxa"/>
                  <w:tcBorders>
                    <w:left w:val="nil"/>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山体坍塌（滑坡）</w:t>
                  </w:r>
                </w:p>
              </w:tc>
              <w:tc>
                <w:tcPr>
                  <w:tcW w:w="10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人身死亡事件</w:t>
                  </w:r>
                </w:p>
              </w:tc>
              <w:tc>
                <w:tcPr>
                  <w:tcW w:w="551" w:type="dxa"/>
                  <w:vAlign w:val="center"/>
                </w:tcPr>
                <w:p>
                  <w:pPr>
                    <w:widowControl/>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2949"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1)每日班前会步置和检查生产安全。</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2)设置隔离沟，加强绿化复垦。</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3)加强安全防护,落实防护措施。</w:t>
                  </w:r>
                </w:p>
              </w:tc>
              <w:tc>
                <w:tcPr>
                  <w:tcW w:w="5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生产部</w:t>
                  </w:r>
                </w:p>
              </w:tc>
              <w:tc>
                <w:tcPr>
                  <w:tcW w:w="638"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孙千运</w:t>
                  </w:r>
                </w:p>
              </w:tc>
              <w:tc>
                <w:tcPr>
                  <w:tcW w:w="679"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8000元</w:t>
                  </w:r>
                </w:p>
              </w:tc>
              <w:tc>
                <w:tcPr>
                  <w:tcW w:w="786" w:type="dxa"/>
                  <w:vAlign w:val="center"/>
                </w:tcPr>
                <w:p>
                  <w:pPr>
                    <w:spacing w:line="240" w:lineRule="exact"/>
                    <w:rPr>
                      <w:rFonts w:asciiTheme="minorEastAsia" w:hAnsiTheme="minorEastAsia" w:eastAsiaTheme="minorEastAsia"/>
                      <w:sz w:val="20"/>
                    </w:rPr>
                  </w:pPr>
                  <w:r>
                    <w:rPr>
                      <w:rFonts w:hint="eastAsia"/>
                      <w:sz w:val="20"/>
                    </w:rPr>
                    <w:t>202</w:t>
                  </w:r>
                  <w:r>
                    <w:rPr>
                      <w:rFonts w:hint="eastAsia"/>
                      <w:sz w:val="20"/>
                      <w:lang w:val="en-US" w:eastAsia="zh-CN"/>
                    </w:rPr>
                    <w:t>1.1.1.</w:t>
                  </w:r>
                  <w:r>
                    <w:rPr>
                      <w:rFonts w:hint="eastAsia"/>
                      <w:sz w:val="20"/>
                    </w:rPr>
                    <w:t xml:space="preserve"> </w:t>
                  </w:r>
                  <w:r>
                    <w:rPr>
                      <w:rFonts w:hint="eastAsia" w:asciiTheme="minorEastAsia" w:hAnsiTheme="minorEastAsia" w:eastAsiaTheme="minorEastAsia"/>
                      <w:sz w:val="20"/>
                    </w:rPr>
                    <w:t xml:space="preserve">  </w:t>
                  </w:r>
                </w:p>
              </w:tc>
              <w:tc>
                <w:tcPr>
                  <w:tcW w:w="769" w:type="dxa"/>
                  <w:vAlign w:val="center"/>
                </w:tcPr>
                <w:p>
                  <w:pPr>
                    <w:spacing w:line="240" w:lineRule="exact"/>
                    <w:rPr>
                      <w:rFonts w:asciiTheme="minorEastAsia" w:hAnsiTheme="minorEastAsia" w:eastAsiaTheme="minorEastAsia"/>
                      <w:sz w:val="20"/>
                    </w:rPr>
                  </w:pPr>
                  <w:r>
                    <w:rPr>
                      <w:rFonts w:hint="eastAsia"/>
                      <w:sz w:val="20"/>
                    </w:rPr>
                    <w:t>2021.</w:t>
                  </w:r>
                  <w:r>
                    <w:rPr>
                      <w:rFonts w:hint="eastAsia"/>
                      <w:sz w:val="20"/>
                      <w:lang w:val="en-US" w:eastAsia="zh-CN"/>
                    </w:rPr>
                    <w:t>9.30</w:t>
                  </w:r>
                </w:p>
              </w:tc>
              <w:tc>
                <w:tcPr>
                  <w:tcW w:w="551"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46" w:type="dxa"/>
                  <w:tcBorders>
                    <w:left w:val="single" w:color="auto" w:sz="4"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7</w:t>
                  </w:r>
                </w:p>
              </w:tc>
              <w:tc>
                <w:tcPr>
                  <w:tcW w:w="715" w:type="dxa"/>
                  <w:tcBorders>
                    <w:left w:val="nil"/>
                  </w:tcBorders>
                  <w:vAlign w:val="center"/>
                </w:tcPr>
                <w:p>
                  <w:pPr>
                    <w:spacing w:line="240" w:lineRule="exact"/>
                    <w:rPr>
                      <w:rFonts w:asciiTheme="minorEastAsia" w:hAnsiTheme="minorEastAsia" w:eastAsiaTheme="minorEastAsia"/>
                      <w:sz w:val="18"/>
                      <w:szCs w:val="18"/>
                    </w:rPr>
                  </w:pP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高处坠落</w:t>
                  </w:r>
                </w:p>
              </w:tc>
              <w:tc>
                <w:tcPr>
                  <w:tcW w:w="1017"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人身死亡事件</w:t>
                  </w:r>
                </w:p>
              </w:tc>
              <w:tc>
                <w:tcPr>
                  <w:tcW w:w="551" w:type="dxa"/>
                  <w:vAlign w:val="center"/>
                </w:tcPr>
                <w:p>
                  <w:pPr>
                    <w:widowControl/>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2949"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1)每日班前会步置和检查生产安全。</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2)安全员每日检查,及时纠正违章操作行为。</w:t>
                  </w:r>
                </w:p>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3)加强安全防护,落实防护措施。</w:t>
                  </w:r>
                </w:p>
              </w:tc>
              <w:tc>
                <w:tcPr>
                  <w:tcW w:w="538"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生产部</w:t>
                  </w:r>
                </w:p>
              </w:tc>
              <w:tc>
                <w:tcPr>
                  <w:tcW w:w="638"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孙千运</w:t>
                  </w:r>
                </w:p>
              </w:tc>
              <w:tc>
                <w:tcPr>
                  <w:tcW w:w="679"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8000元</w:t>
                  </w:r>
                </w:p>
              </w:tc>
              <w:tc>
                <w:tcPr>
                  <w:tcW w:w="786" w:type="dxa"/>
                  <w:vAlign w:val="center"/>
                </w:tcPr>
                <w:p>
                  <w:pPr>
                    <w:spacing w:line="240" w:lineRule="exact"/>
                    <w:rPr>
                      <w:rFonts w:asciiTheme="minorEastAsia" w:hAnsiTheme="minorEastAsia" w:eastAsiaTheme="minorEastAsia"/>
                      <w:sz w:val="20"/>
                    </w:rPr>
                  </w:pPr>
                  <w:r>
                    <w:rPr>
                      <w:rFonts w:hint="eastAsia"/>
                      <w:sz w:val="20"/>
                    </w:rPr>
                    <w:t>202</w:t>
                  </w:r>
                  <w:r>
                    <w:rPr>
                      <w:rFonts w:hint="eastAsia"/>
                      <w:sz w:val="20"/>
                      <w:lang w:val="en-US" w:eastAsia="zh-CN"/>
                    </w:rPr>
                    <w:t>1.1.1.</w:t>
                  </w:r>
                  <w:r>
                    <w:rPr>
                      <w:rFonts w:hint="eastAsia"/>
                      <w:sz w:val="20"/>
                    </w:rPr>
                    <w:t xml:space="preserve"> </w:t>
                  </w:r>
                  <w:r>
                    <w:rPr>
                      <w:rFonts w:hint="eastAsia" w:asciiTheme="minorEastAsia" w:hAnsiTheme="minorEastAsia" w:eastAsiaTheme="minorEastAsia"/>
                      <w:sz w:val="20"/>
                    </w:rPr>
                    <w:t xml:space="preserve"> </w:t>
                  </w:r>
                </w:p>
              </w:tc>
              <w:tc>
                <w:tcPr>
                  <w:tcW w:w="769" w:type="dxa"/>
                  <w:vAlign w:val="center"/>
                </w:tcPr>
                <w:p>
                  <w:pPr>
                    <w:spacing w:line="240" w:lineRule="exact"/>
                    <w:rPr>
                      <w:rFonts w:asciiTheme="minorEastAsia" w:hAnsiTheme="minorEastAsia" w:eastAsiaTheme="minorEastAsia"/>
                      <w:sz w:val="20"/>
                    </w:rPr>
                  </w:pPr>
                  <w:r>
                    <w:rPr>
                      <w:rFonts w:hint="eastAsia"/>
                      <w:sz w:val="20"/>
                    </w:rPr>
                    <w:t>2021.</w:t>
                  </w:r>
                  <w:r>
                    <w:rPr>
                      <w:rFonts w:hint="eastAsia"/>
                      <w:sz w:val="20"/>
                      <w:lang w:val="en-US" w:eastAsia="zh-CN"/>
                    </w:rPr>
                    <w:t>9.30</w:t>
                  </w:r>
                </w:p>
              </w:tc>
              <w:tc>
                <w:tcPr>
                  <w:tcW w:w="551"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行政部</w:t>
                  </w:r>
                </w:p>
              </w:tc>
            </w:tr>
          </w:tbl>
          <w:p>
            <w:pPr>
              <w:spacing w:beforeLines="30" w:afterLines="30" w:line="288" w:lineRule="auto"/>
              <w:ind w:firstLine="480" w:firstLineChars="200"/>
              <w:rPr>
                <w:rFonts w:eastAsiaTheme="minorEastAsia"/>
                <w:sz w:val="24"/>
                <w:szCs w:val="24"/>
              </w:rPr>
            </w:pPr>
            <w:r>
              <w:rPr>
                <w:rFonts w:hAnsiTheme="minorEastAsia" w:eastAsiaTheme="minorEastAsia"/>
                <w:sz w:val="24"/>
                <w:szCs w:val="24"/>
                <w:lang w:val="en-GB"/>
              </w:rPr>
              <w:t>管理方案编制：</w:t>
            </w:r>
            <w:r>
              <w:rPr>
                <w:rFonts w:hAnsiTheme="minorEastAsia" w:eastAsiaTheme="minorEastAsia"/>
                <w:sz w:val="24"/>
                <w:szCs w:val="24"/>
              </w:rPr>
              <w:t>朱怀明</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1</w:t>
            </w:r>
            <w:r>
              <w:rPr>
                <w:rFonts w:eastAsiaTheme="minorEastAsia"/>
                <w:sz w:val="24"/>
                <w:szCs w:val="24"/>
              </w:rPr>
              <w:t>.0</w:t>
            </w:r>
            <w:r>
              <w:rPr>
                <w:rFonts w:hint="eastAsia" w:eastAsiaTheme="minorEastAsia"/>
                <w:sz w:val="24"/>
                <w:szCs w:val="24"/>
                <w:lang w:val="en-US" w:eastAsia="zh-CN"/>
              </w:rPr>
              <w:t>1</w:t>
            </w:r>
            <w:r>
              <w:rPr>
                <w:rFonts w:eastAsiaTheme="minorEastAsia"/>
                <w:sz w:val="24"/>
                <w:szCs w:val="24"/>
              </w:rPr>
              <w:t>.</w:t>
            </w:r>
            <w:r>
              <w:rPr>
                <w:rFonts w:hint="eastAsia" w:eastAsiaTheme="minorEastAsia"/>
                <w:sz w:val="24"/>
                <w:szCs w:val="24"/>
                <w:lang w:val="en-US" w:eastAsia="zh-CN"/>
              </w:rPr>
              <w:t>01</w:t>
            </w:r>
            <w:r>
              <w:rPr>
                <w:rFonts w:hAnsiTheme="minorEastAsia" w:eastAsiaTheme="minorEastAsia"/>
                <w:sz w:val="24"/>
                <w:szCs w:val="24"/>
              </w:rPr>
              <w:t>日，</w:t>
            </w:r>
            <w:r>
              <w:rPr>
                <w:rFonts w:eastAsiaTheme="minorEastAsia"/>
                <w:sz w:val="24"/>
                <w:szCs w:val="24"/>
              </w:rPr>
              <w:t xml:space="preserve"> </w:t>
            </w:r>
            <w:r>
              <w:rPr>
                <w:rFonts w:hAnsiTheme="minorEastAsia" w:eastAsiaTheme="minorEastAsia"/>
                <w:sz w:val="24"/>
                <w:szCs w:val="24"/>
              </w:rPr>
              <w:t>批准：周文明</w:t>
            </w:r>
            <w:r>
              <w:rPr>
                <w:rFonts w:eastAsiaTheme="minorEastAsia"/>
                <w:sz w:val="24"/>
                <w:szCs w:val="24"/>
              </w:rPr>
              <w:t xml:space="preserve"> 20</w:t>
            </w:r>
            <w:r>
              <w:rPr>
                <w:rFonts w:hint="eastAsia" w:eastAsiaTheme="minorEastAsia"/>
                <w:sz w:val="24"/>
                <w:szCs w:val="24"/>
              </w:rPr>
              <w:t>2</w:t>
            </w:r>
            <w:r>
              <w:rPr>
                <w:rFonts w:hint="eastAsia" w:eastAsiaTheme="minorEastAsia"/>
                <w:sz w:val="24"/>
                <w:szCs w:val="24"/>
                <w:lang w:val="en-US" w:eastAsia="zh-CN"/>
              </w:rPr>
              <w:t>1</w:t>
            </w:r>
            <w:r>
              <w:rPr>
                <w:rFonts w:eastAsiaTheme="minorEastAsia"/>
                <w:sz w:val="24"/>
                <w:szCs w:val="24"/>
              </w:rPr>
              <w:t>.0</w:t>
            </w:r>
            <w:r>
              <w:rPr>
                <w:rFonts w:hint="eastAsia" w:eastAsiaTheme="minorEastAsia"/>
                <w:sz w:val="24"/>
                <w:szCs w:val="24"/>
                <w:lang w:val="en-US" w:eastAsia="zh-CN"/>
              </w:rPr>
              <w:t>1</w:t>
            </w:r>
            <w:r>
              <w:rPr>
                <w:rFonts w:eastAsiaTheme="minorEastAsia"/>
                <w:sz w:val="24"/>
                <w:szCs w:val="24"/>
              </w:rPr>
              <w:t>.</w:t>
            </w:r>
            <w:r>
              <w:rPr>
                <w:rFonts w:hint="eastAsia" w:eastAsiaTheme="minorEastAsia"/>
                <w:sz w:val="24"/>
                <w:szCs w:val="24"/>
                <w:lang w:val="en-US" w:eastAsia="zh-CN"/>
              </w:rPr>
              <w:t>03</w:t>
            </w:r>
            <w:r>
              <w:rPr>
                <w:rFonts w:hAnsiTheme="minorEastAsia" w:eastAsiaTheme="minorEastAsia"/>
                <w:color w:val="000000"/>
                <w:sz w:val="24"/>
                <w:szCs w:val="24"/>
              </w:rPr>
              <w:t>日。</w:t>
            </w:r>
          </w:p>
          <w:p>
            <w:pPr>
              <w:spacing w:beforeLines="30" w:afterLines="30" w:line="288" w:lineRule="auto"/>
              <w:ind w:firstLine="480" w:firstLineChars="200"/>
              <w:rPr>
                <w:rFonts w:eastAsiaTheme="minorEastAsia"/>
                <w:szCs w:val="24"/>
              </w:rPr>
            </w:pPr>
            <w:r>
              <w:rPr>
                <w:rFonts w:hAnsiTheme="minorEastAsia" w:eastAsiaTheme="minorEastAsia"/>
                <w:sz w:val="24"/>
                <w:szCs w:val="24"/>
              </w:rPr>
              <w:t>以上管理方案在实施中。</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72" w:type="dxa"/>
            <w:vAlign w:val="center"/>
          </w:tcPr>
          <w:p>
            <w:pPr>
              <w:rPr>
                <w:rFonts w:eastAsiaTheme="minorEastAsia"/>
                <w:szCs w:val="24"/>
              </w:rPr>
            </w:pPr>
            <w:r>
              <w:rPr>
                <w:rFonts w:hAnsiTheme="minorEastAsia" w:eastAsiaTheme="minorEastAsia"/>
                <w:szCs w:val="24"/>
              </w:rPr>
              <w:t>信息交流、沟通、</w:t>
            </w:r>
          </w:p>
          <w:p>
            <w:pPr>
              <w:rPr>
                <w:rFonts w:eastAsiaTheme="minorEastAsia"/>
                <w:szCs w:val="24"/>
              </w:rPr>
            </w:pPr>
            <w:r>
              <w:rPr>
                <w:rFonts w:hAnsiTheme="minorEastAsia" w:eastAsiaTheme="minorEastAsia"/>
                <w:szCs w:val="24"/>
              </w:rPr>
              <w:t>协商与参与、安全事务代表</w:t>
            </w:r>
          </w:p>
        </w:tc>
        <w:tc>
          <w:tcPr>
            <w:tcW w:w="1452" w:type="dxa"/>
            <w:vAlign w:val="center"/>
          </w:tcPr>
          <w:p>
            <w:pPr>
              <w:rPr>
                <w:rFonts w:eastAsiaTheme="minorEastAsia"/>
                <w:szCs w:val="24"/>
              </w:rPr>
            </w:pPr>
            <w:r>
              <w:rPr>
                <w:rFonts w:eastAsiaTheme="minorEastAsia"/>
                <w:szCs w:val="24"/>
              </w:rPr>
              <w:t xml:space="preserve"> </w:t>
            </w:r>
          </w:p>
          <w:p>
            <w:pPr>
              <w:rPr>
                <w:rFonts w:eastAsiaTheme="minorEastAsia"/>
                <w:szCs w:val="24"/>
              </w:rPr>
            </w:pPr>
            <w:r>
              <w:rPr>
                <w:rFonts w:hAnsiTheme="minorEastAsia" w:eastAsiaTheme="minorEastAsia"/>
                <w:szCs w:val="24"/>
              </w:rPr>
              <w:t>O：</w:t>
            </w:r>
            <w:r>
              <w:rPr>
                <w:rFonts w:eastAsiaTheme="minorEastAsia"/>
                <w:szCs w:val="24"/>
              </w:rPr>
              <w:t xml:space="preserve">5.4 </w:t>
            </w:r>
          </w:p>
        </w:tc>
        <w:tc>
          <w:tcPr>
            <w:tcW w:w="10734" w:type="dxa"/>
            <w:vAlign w:val="center"/>
          </w:tcPr>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 xml:space="preserve">编制有《信息交流、沟通、参与和协商控制程序JR-QP-09》。 </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组织在各部门之间建立了与体系有关的信息通渠沟道，借助于会议、电话、口头交流等方式使全体员工达到沟通和理解。目前各部门协调一致，工作上的借口基本理顺。</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 xml:space="preserve">总经理周文明定期主持经营办公例会，分析公司的发展、市场情况和体系运行是否有效，管理目标完成情况，满足顾客要求和法规程度，改进建议等内部管理存在问题等。  </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 xml:space="preserve">总经理周文明为协商、参与提供了时间、机会、培训、资源等保障，明确了沟通、协商、参与渠道，消除了障碍和壁垒。 </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管代朱怀明介绍公司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环保、安全方面的信息主要利用会议、培训、座谈、电话、网络、收文等方式进行内外部沟通和协商。</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现场查见会议记录、通知通报、培训记录、文件签收等组织内部培训方式相关记录。</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行政部是内外部信息交流的中心，通过会议、邮件、培训等形式进行内部交流，向外部接收各种文件传递各种报表，外部沟通联络的部门有环保部门、劳动部门、消防安全部门、质监部门、安监部门及合同方等。</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相关人员能够适当参与并协商办理公司经营管理及安全事务等工作。</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公司经选举确定职业健康安全事务代表是</w:t>
            </w:r>
            <w:r>
              <w:rPr>
                <w:rFonts w:hint="eastAsia" w:hAnsiTheme="minorEastAsia" w:eastAsiaTheme="minorEastAsia"/>
                <w:sz w:val="24"/>
                <w:szCs w:val="24"/>
                <w:lang w:val="en-US" w:eastAsia="zh-CN"/>
              </w:rPr>
              <w:t>戴义量</w:t>
            </w:r>
            <w:r>
              <w:rPr>
                <w:rFonts w:hint="eastAsia" w:hAnsiTheme="minorEastAsia" w:eastAsiaTheme="minorEastAsia"/>
                <w:sz w:val="24"/>
                <w:szCs w:val="24"/>
                <w:lang w:val="en-GB"/>
              </w:rPr>
              <w:t>，</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 xml:space="preserve">1）参与环境因素及危险源辨识、风险评价和风险控制； </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2）参与职业健康安全和环保协商、评审和改进活动，并向最高管理者反映职业健康安全和环保问题；</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3）参与事故和事件的调查以及现场职业健康安全检查等职业健康安全事务；</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4)完成最高管理者就职业健康安全和环保方面要求的其他工作。</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由于公司福利待遇正常发放，员工无抱怨，目前信息交流机制畅通。</w:t>
            </w:r>
          </w:p>
          <w:p>
            <w:pPr>
              <w:spacing w:beforeLines="30" w:afterLines="30" w:line="288" w:lineRule="auto"/>
              <w:ind w:firstLine="480" w:firstLineChars="200"/>
              <w:rPr>
                <w:rFonts w:hAnsiTheme="minorEastAsia" w:eastAsiaTheme="minorEastAsia"/>
                <w:sz w:val="24"/>
                <w:szCs w:val="24"/>
                <w:lang w:val="en-GB"/>
              </w:rPr>
            </w:pPr>
            <w:r>
              <w:rPr>
                <w:rFonts w:hint="eastAsia" w:hAnsiTheme="minorEastAsia" w:eastAsiaTheme="minorEastAsia"/>
                <w:sz w:val="24"/>
                <w:szCs w:val="24"/>
                <w:lang w:val="en-GB"/>
              </w:rPr>
              <w:t>现有的沟通渠道和方法能满足要求。审核中未发现因沟通不利不及时而造成（影响）某项工作不能正常运行的情况。</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72" w:type="dxa"/>
            <w:vAlign w:val="center"/>
          </w:tcPr>
          <w:p>
            <w:pPr>
              <w:rPr>
                <w:rFonts w:eastAsiaTheme="minorEastAsia"/>
                <w:szCs w:val="24"/>
              </w:rPr>
            </w:pPr>
            <w:r>
              <w:rPr>
                <w:rFonts w:hAnsiTheme="minorEastAsia" w:eastAsiaTheme="minorEastAsia"/>
                <w:szCs w:val="24"/>
              </w:rPr>
              <w:t>管理评审</w:t>
            </w:r>
          </w:p>
        </w:tc>
        <w:tc>
          <w:tcPr>
            <w:tcW w:w="1452" w:type="dxa"/>
            <w:vAlign w:val="center"/>
          </w:tcPr>
          <w:p>
            <w:pPr>
              <w:tabs>
                <w:tab w:val="left" w:pos="9720"/>
                <w:tab w:val="left" w:pos="9900"/>
              </w:tabs>
              <w:spacing w:line="360" w:lineRule="auto"/>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 xml:space="preserve">9.3  </w:t>
            </w:r>
          </w:p>
        </w:tc>
        <w:tc>
          <w:tcPr>
            <w:tcW w:w="10734" w:type="dxa"/>
            <w:vAlign w:val="center"/>
          </w:tcPr>
          <w:p>
            <w:p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查看《管理评审程序》，基本符合要求。</w:t>
            </w:r>
            <w:r>
              <w:rPr>
                <w:rFonts w:eastAsiaTheme="minorEastAsia"/>
                <w:szCs w:val="24"/>
              </w:rPr>
              <w:t>20</w:t>
            </w:r>
            <w:r>
              <w:rPr>
                <w:rFonts w:hint="eastAsia" w:eastAsiaTheme="minorEastAsia"/>
                <w:szCs w:val="24"/>
              </w:rPr>
              <w:t>2</w:t>
            </w:r>
            <w:r>
              <w:rPr>
                <w:rFonts w:hint="eastAsia" w:eastAsiaTheme="minorEastAsia"/>
                <w:szCs w:val="24"/>
                <w:lang w:val="en-US" w:eastAsia="zh-CN"/>
              </w:rPr>
              <w:t>1.8.25</w:t>
            </w:r>
            <w:r>
              <w:rPr>
                <w:rFonts w:hAnsiTheme="minorEastAsia" w:eastAsiaTheme="minorEastAsia"/>
                <w:szCs w:val="24"/>
              </w:rPr>
              <w:t>日进行了管理评审。</w:t>
            </w:r>
          </w:p>
          <w:p>
            <w:p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查看</w:t>
            </w:r>
            <w:r>
              <w:rPr>
                <w:rFonts w:eastAsiaTheme="minorEastAsia"/>
                <w:szCs w:val="24"/>
              </w:rPr>
              <w:t xml:space="preserve"> “</w:t>
            </w:r>
            <w:r>
              <w:rPr>
                <w:rFonts w:hAnsiTheme="minorEastAsia" w:eastAsiaTheme="minorEastAsia"/>
                <w:szCs w:val="24"/>
              </w:rPr>
              <w:t>管理评审计划</w:t>
            </w:r>
            <w:r>
              <w:rPr>
                <w:rFonts w:eastAsiaTheme="minorEastAsia"/>
                <w:szCs w:val="24"/>
              </w:rPr>
              <w:t>”</w:t>
            </w:r>
            <w:r>
              <w:rPr>
                <w:rFonts w:hAnsiTheme="minorEastAsia" w:eastAsiaTheme="minorEastAsia"/>
                <w:szCs w:val="24"/>
              </w:rPr>
              <w:t>，由李国伟批准，内容包括；评审目的、评审时间、参加部门人员、评审输入内容等。</w:t>
            </w:r>
          </w:p>
          <w:p>
            <w:pPr>
              <w:numPr>
                <w:ilvl w:val="0"/>
                <w:numId w:val="2"/>
              </w:num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管理评审输入</w:t>
            </w:r>
            <w:r>
              <w:rPr>
                <w:rFonts w:eastAsiaTheme="minorEastAsia"/>
                <w:szCs w:val="24"/>
              </w:rPr>
              <w:t>:</w:t>
            </w:r>
            <w:r>
              <w:rPr>
                <w:rFonts w:hAnsiTheme="minorEastAsia" w:eastAsiaTheme="minorEastAsia"/>
                <w:szCs w:val="24"/>
              </w:rPr>
              <w:t>包括与环境</w:t>
            </w:r>
            <w:r>
              <w:rPr>
                <w:rFonts w:eastAsiaTheme="minorEastAsia"/>
                <w:szCs w:val="24"/>
              </w:rPr>
              <w:t>/</w:t>
            </w:r>
            <w:r>
              <w:rPr>
                <w:rFonts w:hAnsiTheme="minorEastAsia" w:eastAsiaTheme="minorEastAsia"/>
                <w:szCs w:val="24"/>
              </w:rPr>
              <w:t>管理体系相关的内外部因素变化；</w:t>
            </w:r>
          </w:p>
          <w:p>
            <w:pPr>
              <w:numPr>
                <w:ilvl w:val="0"/>
                <w:numId w:val="2"/>
              </w:num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有关环境</w:t>
            </w:r>
            <w:r>
              <w:rPr>
                <w:rFonts w:eastAsiaTheme="minorEastAsia"/>
                <w:szCs w:val="24"/>
              </w:rPr>
              <w:t>/</w:t>
            </w:r>
            <w:r>
              <w:rPr>
                <w:rFonts w:hAnsiTheme="minorEastAsia" w:eastAsiaTheme="minorEastAsia"/>
                <w:szCs w:val="24"/>
              </w:rPr>
              <w:t>管理体系绩效和有效性的信息，包括其趋势；</w:t>
            </w:r>
          </w:p>
          <w:p>
            <w:pPr>
              <w:numPr>
                <w:ilvl w:val="0"/>
                <w:numId w:val="3"/>
              </w:numPr>
              <w:tabs>
                <w:tab w:val="left" w:pos="9720"/>
                <w:tab w:val="left" w:pos="9900"/>
              </w:tabs>
              <w:spacing w:beforeLines="30" w:afterLines="30" w:line="288" w:lineRule="auto"/>
              <w:ind w:firstLine="420" w:firstLineChars="200"/>
              <w:rPr>
                <w:rFonts w:eastAsiaTheme="minorEastAsia"/>
                <w:szCs w:val="24"/>
              </w:rPr>
            </w:pPr>
            <w:r>
              <w:rPr>
                <w:rFonts w:eastAsiaTheme="minorEastAsia"/>
                <w:szCs w:val="24"/>
              </w:rPr>
              <w:t>.</w:t>
            </w:r>
            <w:r>
              <w:rPr>
                <w:rFonts w:hAnsiTheme="minorEastAsia" w:eastAsiaTheme="minorEastAsia"/>
                <w:szCs w:val="24"/>
              </w:rPr>
              <w:t>顾客满意和有关相关方的反馈；</w:t>
            </w:r>
          </w:p>
          <w:p>
            <w:pPr>
              <w:numPr>
                <w:ilvl w:val="0"/>
                <w:numId w:val="3"/>
              </w:num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环境</w:t>
            </w:r>
            <w:r>
              <w:rPr>
                <w:rFonts w:eastAsiaTheme="minorEastAsia"/>
                <w:szCs w:val="24"/>
              </w:rPr>
              <w:t>/</w:t>
            </w:r>
            <w:r>
              <w:rPr>
                <w:rFonts w:hAnsiTheme="minorEastAsia" w:eastAsiaTheme="minorEastAsia"/>
                <w:szCs w:val="24"/>
              </w:rPr>
              <w:t>目标的实现程度；</w:t>
            </w:r>
          </w:p>
          <w:p>
            <w:pPr>
              <w:numPr>
                <w:ilvl w:val="0"/>
                <w:numId w:val="3"/>
              </w:num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过程绩效以及产品和服务的合格情况；</w:t>
            </w:r>
          </w:p>
          <w:p>
            <w:pPr>
              <w:numPr>
                <w:ilvl w:val="0"/>
                <w:numId w:val="3"/>
              </w:num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不合格及纠正措施；</w:t>
            </w:r>
          </w:p>
          <w:p>
            <w:pPr>
              <w:numPr>
                <w:ilvl w:val="0"/>
                <w:numId w:val="3"/>
              </w:num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监视和测量结果；</w:t>
            </w:r>
          </w:p>
          <w:p>
            <w:pPr>
              <w:numPr>
                <w:ilvl w:val="0"/>
                <w:numId w:val="3"/>
              </w:num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审核结果；</w:t>
            </w:r>
          </w:p>
          <w:p>
            <w:pPr>
              <w:numPr>
                <w:ilvl w:val="0"/>
                <w:numId w:val="3"/>
              </w:num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外部供方绩效。</w:t>
            </w:r>
          </w:p>
          <w:p>
            <w:pPr>
              <w:tabs>
                <w:tab w:val="left" w:pos="9720"/>
                <w:tab w:val="left" w:pos="9900"/>
              </w:tabs>
              <w:spacing w:beforeLines="30" w:afterLines="30" w:line="288" w:lineRule="auto"/>
              <w:ind w:firstLine="420" w:firstLineChars="200"/>
              <w:rPr>
                <w:rFonts w:eastAsiaTheme="minorEastAsia"/>
                <w:szCs w:val="24"/>
              </w:rPr>
            </w:pPr>
            <w:r>
              <w:rPr>
                <w:rFonts w:eastAsiaTheme="minorEastAsia"/>
                <w:szCs w:val="24"/>
              </w:rPr>
              <w:t>c.</w:t>
            </w:r>
            <w:r>
              <w:rPr>
                <w:rFonts w:hAnsiTheme="minorEastAsia" w:eastAsiaTheme="minorEastAsia"/>
                <w:szCs w:val="24"/>
              </w:rPr>
              <w:t>资源的充分性</w:t>
            </w:r>
          </w:p>
          <w:p>
            <w:pPr>
              <w:tabs>
                <w:tab w:val="left" w:pos="9720"/>
                <w:tab w:val="left" w:pos="9900"/>
              </w:tabs>
              <w:spacing w:beforeLines="30" w:afterLines="30" w:line="288" w:lineRule="auto"/>
              <w:ind w:firstLine="420" w:firstLineChars="200"/>
              <w:rPr>
                <w:rFonts w:eastAsiaTheme="minorEastAsia"/>
                <w:szCs w:val="24"/>
              </w:rPr>
            </w:pPr>
            <w:r>
              <w:rPr>
                <w:rFonts w:eastAsiaTheme="minorEastAsia"/>
                <w:szCs w:val="24"/>
              </w:rPr>
              <w:t>d.</w:t>
            </w:r>
            <w:r>
              <w:rPr>
                <w:rFonts w:hAnsiTheme="minorEastAsia" w:eastAsiaTheme="minorEastAsia"/>
                <w:szCs w:val="24"/>
              </w:rPr>
              <w:t>应对风险和机遇所采取措施的有效性；</w:t>
            </w:r>
          </w:p>
          <w:p>
            <w:pPr>
              <w:tabs>
                <w:tab w:val="left" w:pos="9720"/>
                <w:tab w:val="left" w:pos="9900"/>
              </w:tabs>
              <w:spacing w:beforeLines="30" w:afterLines="30" w:line="288" w:lineRule="auto"/>
              <w:ind w:firstLine="420" w:firstLineChars="200"/>
              <w:rPr>
                <w:rFonts w:eastAsiaTheme="minorEastAsia"/>
                <w:szCs w:val="24"/>
              </w:rPr>
            </w:pPr>
            <w:r>
              <w:rPr>
                <w:rFonts w:eastAsiaTheme="minorEastAsia"/>
                <w:szCs w:val="24"/>
              </w:rPr>
              <w:t>e.</w:t>
            </w:r>
            <w:r>
              <w:rPr>
                <w:rFonts w:hint="eastAsia" w:eastAsiaTheme="minorEastAsia"/>
                <w:szCs w:val="24"/>
                <w:lang w:val="en-US" w:eastAsia="zh-CN"/>
              </w:rPr>
              <w:t>上次审核不符合项的整改情况及</w:t>
            </w:r>
            <w:r>
              <w:rPr>
                <w:rFonts w:hAnsiTheme="minorEastAsia" w:eastAsiaTheme="minorEastAsia"/>
                <w:szCs w:val="24"/>
              </w:rPr>
              <w:t>改进的机会。</w:t>
            </w:r>
          </w:p>
          <w:p>
            <w:p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查到各部门汇报材料，有参加人员签到表，总经理李国伟主持。</w:t>
            </w:r>
          </w:p>
          <w:p>
            <w:p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管理评审输出：</w:t>
            </w:r>
          </w:p>
          <w:p>
            <w:p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查</w:t>
            </w:r>
            <w:r>
              <w:rPr>
                <w:rFonts w:eastAsiaTheme="minorEastAsia"/>
                <w:szCs w:val="24"/>
              </w:rPr>
              <w:t>“</w:t>
            </w:r>
            <w:r>
              <w:rPr>
                <w:rFonts w:hAnsiTheme="minorEastAsia" w:eastAsiaTheme="minorEastAsia"/>
                <w:szCs w:val="24"/>
              </w:rPr>
              <w:t>管理评审报告</w:t>
            </w:r>
            <w:r>
              <w:rPr>
                <w:rFonts w:eastAsiaTheme="minorEastAsia"/>
                <w:szCs w:val="24"/>
              </w:rPr>
              <w:t>”</w:t>
            </w:r>
            <w:r>
              <w:rPr>
                <w:rFonts w:hAnsiTheme="minorEastAsia" w:eastAsiaTheme="minorEastAsia"/>
                <w:szCs w:val="24"/>
              </w:rPr>
              <w:t>总经理周文明批准。</w:t>
            </w:r>
          </w:p>
          <w:p>
            <w:p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评管理审结论：公司建立的三合一管理体系是基本充分和有效的，是符合公司现阶段实际的，也是符合相关法律法规和标准要求的。随着公司的不断发展壮大，公司人力资源的结构和层次需要进一步调整、补充和完善。</w:t>
            </w:r>
          </w:p>
          <w:p>
            <w:p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改进措施：</w:t>
            </w:r>
          </w:p>
          <w:p>
            <w:pPr>
              <w:tabs>
                <w:tab w:val="left" w:pos="9720"/>
                <w:tab w:val="left" w:pos="9900"/>
              </w:tabs>
              <w:spacing w:beforeLines="30" w:afterLines="30" w:line="288" w:lineRule="auto"/>
              <w:ind w:firstLine="420" w:firstLineChars="200"/>
              <w:rPr>
                <w:rFonts w:eastAsiaTheme="minorEastAsia"/>
                <w:szCs w:val="24"/>
              </w:rPr>
            </w:pPr>
            <w:r>
              <w:rPr>
                <w:rFonts w:hint="eastAsia" w:hAnsiTheme="minorEastAsia" w:eastAsiaTheme="minorEastAsia"/>
                <w:szCs w:val="24"/>
              </w:rPr>
              <w:t>随着公司的快速发展节能降耗问题一直是公司管理的重中之重，但是仍然有少数人对节能降耗，减少生产车间和办公区域资源能源和办公器材消耗量意识较差。应由行政部负责组织对生产关键岗位进行一次针对性的节能减排教育培训，确保了解其工作中的节能降耗并进行有效的控制</w:t>
            </w:r>
            <w:r>
              <w:rPr>
                <w:rFonts w:hAnsiTheme="minorEastAsia" w:eastAsiaTheme="minorEastAsia"/>
                <w:szCs w:val="24"/>
              </w:rPr>
              <w:t>。</w:t>
            </w:r>
          </w:p>
          <w:p>
            <w:pPr>
              <w:tabs>
                <w:tab w:val="left" w:pos="9720"/>
                <w:tab w:val="left" w:pos="9900"/>
              </w:tabs>
              <w:spacing w:beforeLines="30" w:afterLines="30" w:line="288" w:lineRule="auto"/>
              <w:ind w:firstLine="420" w:firstLineChars="200"/>
              <w:rPr>
                <w:rFonts w:eastAsiaTheme="minorEastAsia"/>
                <w:szCs w:val="24"/>
              </w:rPr>
            </w:pPr>
            <w:r>
              <w:rPr>
                <w:rFonts w:hint="eastAsia" w:hAnsiTheme="minorEastAsia" w:eastAsiaTheme="minorEastAsia"/>
                <w:szCs w:val="24"/>
              </w:rPr>
              <w:t>查看2019年管理评审改进计划完成情况，已由行政部组织培训，并于2019年11月完成。</w:t>
            </w:r>
          </w:p>
          <w:p>
            <w:pPr>
              <w:tabs>
                <w:tab w:val="left" w:pos="9720"/>
                <w:tab w:val="left" w:pos="9900"/>
              </w:tabs>
              <w:spacing w:beforeLines="30" w:afterLines="30" w:line="288" w:lineRule="auto"/>
              <w:ind w:firstLine="420" w:firstLineChars="200"/>
              <w:rPr>
                <w:rFonts w:eastAsiaTheme="minorEastAsia"/>
                <w:szCs w:val="24"/>
              </w:rPr>
            </w:pPr>
            <w:r>
              <w:rPr>
                <w:rFonts w:hAnsiTheme="minorEastAsia" w:eastAsiaTheme="minorEastAsia"/>
                <w:szCs w:val="24"/>
              </w:rPr>
              <w:t>管理评审的策划及实施符合要求。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672" w:type="dxa"/>
            <w:vAlign w:val="center"/>
          </w:tcPr>
          <w:p>
            <w:pPr>
              <w:rPr>
                <w:rFonts w:eastAsiaTheme="minorEastAsia"/>
                <w:szCs w:val="24"/>
              </w:rPr>
            </w:pPr>
            <w:r>
              <w:rPr>
                <w:rFonts w:hAnsiTheme="minorEastAsia" w:eastAsiaTheme="minorEastAsia"/>
                <w:szCs w:val="24"/>
              </w:rPr>
              <w:t>改进</w:t>
            </w:r>
          </w:p>
          <w:p>
            <w:pPr>
              <w:rPr>
                <w:rFonts w:eastAsiaTheme="minorEastAsia"/>
                <w:szCs w:val="24"/>
              </w:rPr>
            </w:pPr>
          </w:p>
        </w:tc>
        <w:tc>
          <w:tcPr>
            <w:tcW w:w="1452" w:type="dxa"/>
            <w:vAlign w:val="center"/>
          </w:tcPr>
          <w:p>
            <w:pPr>
              <w:rPr>
                <w:rFonts w:eastAsiaTheme="minorEastAsia"/>
                <w:szCs w:val="24"/>
              </w:rPr>
            </w:pPr>
            <w:r>
              <w:rPr>
                <w:rFonts w:eastAsiaTheme="minorEastAsia"/>
                <w:szCs w:val="24"/>
              </w:rPr>
              <w:t>EO</w:t>
            </w:r>
            <w:r>
              <w:rPr>
                <w:rFonts w:hAnsiTheme="minorEastAsia" w:eastAsiaTheme="minorEastAsia"/>
                <w:szCs w:val="24"/>
              </w:rPr>
              <w:t>：</w:t>
            </w:r>
            <w:r>
              <w:rPr>
                <w:rFonts w:eastAsiaTheme="minorEastAsia"/>
                <w:szCs w:val="24"/>
              </w:rPr>
              <w:t>10.1</w:t>
            </w:r>
            <w:r>
              <w:rPr>
                <w:rFonts w:hAnsiTheme="minorEastAsia" w:eastAsiaTheme="minorEastAsia"/>
                <w:szCs w:val="24"/>
              </w:rPr>
              <w:t>、</w:t>
            </w:r>
            <w:r>
              <w:rPr>
                <w:rFonts w:eastAsiaTheme="minorEastAsia"/>
                <w:szCs w:val="24"/>
              </w:rPr>
              <w:t>10.3</w:t>
            </w:r>
          </w:p>
          <w:p>
            <w:pPr>
              <w:rPr>
                <w:rFonts w:eastAsiaTheme="minorEastAsia"/>
                <w:szCs w:val="24"/>
              </w:rPr>
            </w:pPr>
          </w:p>
        </w:tc>
        <w:tc>
          <w:tcPr>
            <w:tcW w:w="10734" w:type="dxa"/>
            <w:vAlign w:val="center"/>
          </w:tcPr>
          <w:p>
            <w:pPr>
              <w:snapToGrid w:val="0"/>
              <w:spacing w:beforeLines="30" w:afterLines="30" w:line="288" w:lineRule="auto"/>
              <w:ind w:firstLine="420" w:firstLineChars="200"/>
              <w:rPr>
                <w:rFonts w:eastAsiaTheme="minorEastAsia"/>
                <w:szCs w:val="24"/>
              </w:rPr>
            </w:pPr>
            <w:r>
              <w:rPr>
                <w:rFonts w:hAnsiTheme="minorEastAsia" w:eastAsiaTheme="minorEastAsia"/>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72" w:type="dxa"/>
            <w:vAlign w:val="center"/>
          </w:tcPr>
          <w:p>
            <w:pPr>
              <w:rPr>
                <w:rFonts w:hAnsi="宋体"/>
                <w:szCs w:val="21"/>
              </w:rPr>
            </w:pPr>
            <w:r>
              <w:rPr>
                <w:rFonts w:hint="eastAsia" w:hAnsi="宋体"/>
                <w:szCs w:val="21"/>
              </w:rPr>
              <w:t>标准/规范/法规的执行情况</w:t>
            </w:r>
          </w:p>
        </w:tc>
        <w:tc>
          <w:tcPr>
            <w:tcW w:w="1452" w:type="dxa"/>
            <w:vAlign w:val="center"/>
          </w:tcPr>
          <w:p>
            <w:pPr>
              <w:rPr>
                <w:szCs w:val="21"/>
              </w:rPr>
            </w:pPr>
          </w:p>
        </w:tc>
        <w:tc>
          <w:tcPr>
            <w:tcW w:w="10734" w:type="dxa"/>
            <w:vAlign w:val="center"/>
          </w:tcPr>
          <w:p>
            <w:pPr>
              <w:pStyle w:val="6"/>
              <w:pBdr>
                <w:bottom w:val="none" w:color="auto" w:sz="0" w:space="0"/>
              </w:pBdr>
              <w:tabs>
                <w:tab w:val="center" w:pos="5737"/>
                <w:tab w:val="clear" w:pos="4153"/>
              </w:tabs>
              <w:spacing w:beforeLines="20" w:afterLines="20"/>
              <w:ind w:firstLine="420" w:firstLineChars="200"/>
              <w:jc w:val="left"/>
              <w:rPr>
                <w:rFonts w:hAnsi="宋体"/>
                <w:color w:val="000000"/>
                <w:szCs w:val="21"/>
              </w:rPr>
            </w:pPr>
            <w:r>
              <w:rPr>
                <w:rFonts w:hint="eastAsia"/>
                <w:color w:val="000000"/>
                <w:sz w:val="21"/>
                <w:szCs w:val="21"/>
              </w:rPr>
              <w:t>未发生重大质量事故、安全事故、准守法律法规要求。</w:t>
            </w:r>
          </w:p>
          <w:p>
            <w:pPr>
              <w:snapToGrid w:val="0"/>
              <w:spacing w:line="360" w:lineRule="auto"/>
              <w:ind w:firstLine="420" w:firstLineChars="200"/>
              <w:rPr>
                <w:rFonts w:hAnsi="宋体"/>
                <w:color w:val="000000"/>
                <w:szCs w:val="21"/>
                <w:highlight w:val="yellow"/>
              </w:rPr>
            </w:pP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72" w:type="dxa"/>
            <w:vAlign w:val="center"/>
          </w:tcPr>
          <w:p>
            <w:pPr>
              <w:rPr>
                <w:rFonts w:hAnsi="宋体"/>
                <w:szCs w:val="21"/>
              </w:rPr>
            </w:pPr>
            <w:r>
              <w:rPr>
                <w:rFonts w:hint="eastAsia" w:hAnsi="宋体"/>
                <w:szCs w:val="21"/>
              </w:rPr>
              <w:t>上次审核不符合项的验证</w:t>
            </w:r>
          </w:p>
        </w:tc>
        <w:tc>
          <w:tcPr>
            <w:tcW w:w="1452" w:type="dxa"/>
            <w:vAlign w:val="center"/>
          </w:tcPr>
          <w:p>
            <w:pPr>
              <w:rPr>
                <w:szCs w:val="21"/>
              </w:rPr>
            </w:pPr>
          </w:p>
        </w:tc>
        <w:tc>
          <w:tcPr>
            <w:tcW w:w="10734" w:type="dxa"/>
            <w:vAlign w:val="center"/>
          </w:tcPr>
          <w:p>
            <w:pPr>
              <w:pStyle w:val="6"/>
              <w:pBdr>
                <w:bottom w:val="none" w:color="auto" w:sz="0" w:space="0"/>
              </w:pBdr>
              <w:tabs>
                <w:tab w:val="center" w:pos="5737"/>
                <w:tab w:val="clear" w:pos="4153"/>
              </w:tabs>
              <w:spacing w:beforeLines="20" w:afterLines="20"/>
              <w:ind w:firstLine="420" w:firstLineChars="200"/>
              <w:jc w:val="left"/>
              <w:rPr>
                <w:color w:val="000000"/>
                <w:sz w:val="21"/>
                <w:szCs w:val="21"/>
              </w:rPr>
            </w:pPr>
            <w:r>
              <w:rPr>
                <w:rFonts w:hint="eastAsia"/>
                <w:color w:val="000000"/>
                <w:sz w:val="21"/>
                <w:szCs w:val="21"/>
              </w:rPr>
              <w:t>去年不符合项1个为：</w:t>
            </w:r>
            <w:r>
              <w:rPr>
                <w:rFonts w:hint="eastAsia"/>
                <w:color w:val="000000"/>
                <w:sz w:val="21"/>
                <w:szCs w:val="21"/>
                <w:lang w:val="en-US" w:eastAsia="zh-CN"/>
              </w:rPr>
              <w:t>生产</w:t>
            </w:r>
            <w:r>
              <w:rPr>
                <w:rFonts w:hint="eastAsia"/>
                <w:color w:val="000000"/>
                <w:sz w:val="21"/>
                <w:szCs w:val="21"/>
              </w:rPr>
              <w:t>部EO8.1条款不符合，</w:t>
            </w:r>
          </w:p>
          <w:p>
            <w:pPr>
              <w:spacing w:before="120" w:line="360" w:lineRule="auto"/>
              <w:ind w:firstLine="420" w:firstLineChars="200"/>
              <w:rPr>
                <w:rFonts w:ascii="方正仿宋简体" w:eastAsia="方正仿宋简体"/>
                <w:b w:val="0"/>
                <w:bCs/>
              </w:rPr>
            </w:pPr>
            <w:r>
              <w:rPr>
                <w:rFonts w:ascii="方正仿宋简体" w:eastAsia="方正仿宋简体"/>
                <w:b w:val="0"/>
                <w:bCs/>
              </w:rPr>
              <w:t>现场查看固废存放间，存放有废油桶、废润滑油桶等十多个，固废存放间未放有任何消防设施，不符合要求。</w:t>
            </w:r>
          </w:p>
          <w:p>
            <w:pPr>
              <w:snapToGrid w:val="0"/>
              <w:spacing w:line="360" w:lineRule="auto"/>
              <w:ind w:firstLine="420" w:firstLineChars="200"/>
              <w:rPr>
                <w:rFonts w:hAnsi="宋体"/>
                <w:color w:val="000000"/>
                <w:szCs w:val="21"/>
              </w:rPr>
            </w:pPr>
            <w:r>
              <w:rPr>
                <w:rFonts w:hint="eastAsia" w:hAnsi="宋体"/>
                <w:color w:val="000000"/>
                <w:szCs w:val="21"/>
              </w:rPr>
              <w:t>经本次审核验证无类似不符合情况出现，整改措施有效。</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72" w:type="dxa"/>
            <w:vAlign w:val="center"/>
          </w:tcPr>
          <w:p>
            <w:pPr>
              <w:rPr>
                <w:rFonts w:hAnsi="宋体"/>
                <w:szCs w:val="21"/>
              </w:rPr>
            </w:pPr>
            <w:r>
              <w:rPr>
                <w:rFonts w:hint="eastAsia" w:hAnsi="宋体"/>
                <w:szCs w:val="21"/>
              </w:rPr>
              <w:t>认证证书、标志的使用情况</w:t>
            </w:r>
          </w:p>
        </w:tc>
        <w:tc>
          <w:tcPr>
            <w:tcW w:w="1452" w:type="dxa"/>
            <w:vAlign w:val="center"/>
          </w:tcPr>
          <w:p>
            <w:pPr>
              <w:rPr>
                <w:szCs w:val="21"/>
              </w:rPr>
            </w:pPr>
          </w:p>
        </w:tc>
        <w:tc>
          <w:tcPr>
            <w:tcW w:w="10734" w:type="dxa"/>
            <w:vAlign w:val="center"/>
          </w:tcPr>
          <w:p>
            <w:pPr>
              <w:snapToGrid w:val="0"/>
              <w:spacing w:line="360" w:lineRule="auto"/>
              <w:ind w:firstLine="420" w:firstLineChars="200"/>
              <w:rPr>
                <w:rFonts w:hAnsi="宋体"/>
                <w:color w:val="000000"/>
                <w:szCs w:val="21"/>
              </w:rPr>
            </w:pPr>
            <w:r>
              <w:rPr>
                <w:rFonts w:hAnsi="宋体"/>
                <w:color w:val="000000"/>
                <w:szCs w:val="21"/>
              </w:rPr>
              <w:t>标志未应用在产品上；投标等情况使用认证证书。</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72" w:type="dxa"/>
            <w:vAlign w:val="center"/>
          </w:tcPr>
          <w:p>
            <w:pPr>
              <w:rPr>
                <w:rFonts w:hAnsi="宋体"/>
                <w:szCs w:val="21"/>
              </w:rPr>
            </w:pPr>
            <w:r>
              <w:rPr>
                <w:rFonts w:hint="eastAsia" w:hAnsi="宋体"/>
                <w:szCs w:val="21"/>
              </w:rPr>
              <w:t>投诉或事故、监督抽查情况、</w:t>
            </w:r>
          </w:p>
        </w:tc>
        <w:tc>
          <w:tcPr>
            <w:tcW w:w="1452" w:type="dxa"/>
            <w:vAlign w:val="center"/>
          </w:tcPr>
          <w:p>
            <w:pPr>
              <w:rPr>
                <w:szCs w:val="21"/>
              </w:rPr>
            </w:pPr>
          </w:p>
        </w:tc>
        <w:tc>
          <w:tcPr>
            <w:tcW w:w="10734" w:type="dxa"/>
            <w:vAlign w:val="center"/>
          </w:tcPr>
          <w:p>
            <w:pPr>
              <w:snapToGrid w:val="0"/>
              <w:spacing w:line="360" w:lineRule="auto"/>
              <w:ind w:firstLine="420" w:firstLineChars="200"/>
              <w:rPr>
                <w:rFonts w:hAnsi="宋体"/>
                <w:color w:val="000000"/>
                <w:szCs w:val="21"/>
              </w:rPr>
            </w:pPr>
            <w:r>
              <w:rPr>
                <w:rFonts w:hint="eastAsia" w:hAnsi="宋体"/>
                <w:color w:val="000000"/>
                <w:szCs w:val="21"/>
              </w:rPr>
              <w:t>自公司成立以来，未受到上级主管部门有关环境、职业健康安全的行政处罚。未发生相关方的投诉。</w:t>
            </w:r>
          </w:p>
          <w:p>
            <w:pPr>
              <w:snapToGrid w:val="0"/>
              <w:spacing w:line="360" w:lineRule="auto"/>
              <w:ind w:firstLine="420" w:firstLineChars="200"/>
              <w:rPr>
                <w:rFonts w:hAnsi="宋体"/>
                <w:color w:val="000000"/>
                <w:szCs w:val="21"/>
              </w:rPr>
            </w:pPr>
            <w:r>
              <w:rPr>
                <w:rFonts w:hint="eastAsia" w:hAnsi="宋体"/>
                <w:color w:val="000000"/>
                <w:szCs w:val="21"/>
              </w:rPr>
              <w:t>暂时没有国家/地方抽查情况。</w:t>
            </w:r>
          </w:p>
          <w:p>
            <w:pPr>
              <w:snapToGrid w:val="0"/>
              <w:spacing w:line="360" w:lineRule="auto"/>
              <w:ind w:firstLine="420" w:firstLineChars="200"/>
              <w:rPr>
                <w:rFonts w:hAnsi="宋体"/>
                <w:color w:val="000000"/>
                <w:szCs w:val="21"/>
              </w:rPr>
            </w:pPr>
            <w:r>
              <w:rPr>
                <w:rFonts w:hint="eastAsia" w:hAnsi="宋体"/>
                <w:color w:val="000000"/>
                <w:szCs w:val="21"/>
              </w:rPr>
              <w:t>目前没有相关行政主管部门的检查处罚，在审核现场也未发现抽查、相关方投诉等情况。</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72" w:type="dxa"/>
            <w:vAlign w:val="center"/>
          </w:tcPr>
          <w:p>
            <w:pPr>
              <w:rPr>
                <w:rFonts w:hAnsi="宋体"/>
                <w:szCs w:val="21"/>
              </w:rPr>
            </w:pPr>
            <w:r>
              <w:rPr>
                <w:rFonts w:hint="eastAsia" w:hAnsiTheme="minorEastAsia" w:eastAsiaTheme="minorEastAsia"/>
                <w:szCs w:val="21"/>
              </w:rPr>
              <w:t>体系变动</w:t>
            </w:r>
          </w:p>
        </w:tc>
        <w:tc>
          <w:tcPr>
            <w:tcW w:w="1452" w:type="dxa"/>
            <w:vAlign w:val="center"/>
          </w:tcPr>
          <w:p>
            <w:pPr>
              <w:rPr>
                <w:szCs w:val="21"/>
              </w:rPr>
            </w:pPr>
          </w:p>
        </w:tc>
        <w:tc>
          <w:tcPr>
            <w:tcW w:w="10734" w:type="dxa"/>
            <w:vAlign w:val="center"/>
          </w:tcPr>
          <w:p>
            <w:pPr>
              <w:snapToGrid w:val="0"/>
              <w:spacing w:line="360" w:lineRule="auto"/>
              <w:ind w:firstLine="420" w:firstLineChars="200"/>
              <w:rPr>
                <w:rFonts w:hint="default" w:hAnsi="宋体" w:eastAsia="宋体"/>
                <w:color w:val="000000"/>
                <w:szCs w:val="21"/>
                <w:lang w:val="en-US" w:eastAsia="zh-CN"/>
              </w:rPr>
            </w:pPr>
            <w:r>
              <w:rPr>
                <w:rFonts w:hint="eastAsia" w:hAnsi="宋体"/>
                <w:color w:val="000000"/>
                <w:szCs w:val="21"/>
                <w:lang w:val="en-US" w:eastAsia="zh-CN"/>
              </w:rPr>
              <w:t>没有变化</w:t>
            </w:r>
            <w:bookmarkStart w:id="2" w:name="_GoBack"/>
            <w:bookmarkEnd w:id="2"/>
          </w:p>
        </w:tc>
        <w:tc>
          <w:tcPr>
            <w:tcW w:w="851" w:type="dxa"/>
          </w:tcPr>
          <w:p>
            <w:pPr>
              <w:rPr>
                <w:rFonts w:eastAsiaTheme="minorEastAsia"/>
                <w:sz w:val="24"/>
                <w:szCs w:val="24"/>
              </w:rPr>
            </w:pPr>
            <w:r>
              <w:rPr>
                <w:rFonts w:eastAsiaTheme="minorEastAsia"/>
                <w:sz w:val="24"/>
                <w:szCs w:val="24"/>
              </w:rPr>
              <w:t>符合</w:t>
            </w:r>
          </w:p>
        </w:tc>
      </w:tr>
    </w:tbl>
    <w:p>
      <w:pPr>
        <w:rPr>
          <w:rFonts w:eastAsiaTheme="minorEastAsia"/>
        </w:rPr>
      </w:pPr>
      <w:r>
        <w:rPr>
          <w:rFonts w:eastAsiaTheme="minorEastAsia"/>
        </w:rPr>
        <w:ptab w:relativeTo="margin" w:alignment="center" w:leader="none"/>
      </w:r>
    </w:p>
    <w:p>
      <w:pPr>
        <w:rPr>
          <w:rFonts w:eastAsiaTheme="minorEastAsia"/>
        </w:rPr>
      </w:pPr>
    </w:p>
    <w:p>
      <w:pPr>
        <w:pStyle w:val="5"/>
        <w:rPr>
          <w:rFonts w:eastAsiaTheme="minorEastAsia"/>
        </w:rPr>
      </w:pPr>
      <w:r>
        <w:rPr>
          <w:rFonts w:hAnsiTheme="minorEastAsia" w:eastAsiaTheme="minorEastAsia"/>
        </w:rPr>
        <w:t>说明：不符合标注</w:t>
      </w:r>
      <w:r>
        <w:rPr>
          <w:rFonts w:eastAsiaTheme="minorEastAsia"/>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lowerLetter"/>
      <w:suff w:val="nothing"/>
      <w:lvlText w:val="%1)"/>
      <w:lvlJc w:val="left"/>
      <w:pPr>
        <w:ind w:left="0" w:firstLine="0"/>
      </w:pPr>
    </w:lvl>
  </w:abstractNum>
  <w:abstractNum w:abstractNumId="1">
    <w:nsid w:val="00000008"/>
    <w:multiLevelType w:val="singleLevel"/>
    <w:tmpl w:val="00000008"/>
    <w:lvl w:ilvl="0" w:tentative="0">
      <w:start w:val="1"/>
      <w:numFmt w:val="decimal"/>
      <w:suff w:val="nothing"/>
      <w:lvlText w:val="%1）"/>
      <w:lvlJc w:val="left"/>
    </w:lvl>
  </w:abstractNum>
  <w:abstractNum w:abstractNumId="2">
    <w:nsid w:val="45557EDB"/>
    <w:multiLevelType w:val="multilevel"/>
    <w:tmpl w:val="45557E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32"/>
    <w:rsid w:val="00017376"/>
    <w:rsid w:val="00023BB5"/>
    <w:rsid w:val="0003373A"/>
    <w:rsid w:val="000551F9"/>
    <w:rsid w:val="000626C1"/>
    <w:rsid w:val="00065FED"/>
    <w:rsid w:val="000834BD"/>
    <w:rsid w:val="0009414A"/>
    <w:rsid w:val="000B7259"/>
    <w:rsid w:val="000C3F7F"/>
    <w:rsid w:val="000E1798"/>
    <w:rsid w:val="00103BA4"/>
    <w:rsid w:val="001156E2"/>
    <w:rsid w:val="00137320"/>
    <w:rsid w:val="001428D6"/>
    <w:rsid w:val="001576A6"/>
    <w:rsid w:val="0016351D"/>
    <w:rsid w:val="0016364A"/>
    <w:rsid w:val="00177E80"/>
    <w:rsid w:val="00190F79"/>
    <w:rsid w:val="001A2D7F"/>
    <w:rsid w:val="001B62BE"/>
    <w:rsid w:val="001C0444"/>
    <w:rsid w:val="001F4615"/>
    <w:rsid w:val="001F6142"/>
    <w:rsid w:val="00200E78"/>
    <w:rsid w:val="00212B9B"/>
    <w:rsid w:val="002141CE"/>
    <w:rsid w:val="0021771E"/>
    <w:rsid w:val="002215F5"/>
    <w:rsid w:val="00227D6D"/>
    <w:rsid w:val="00233A1C"/>
    <w:rsid w:val="00243B76"/>
    <w:rsid w:val="002450D2"/>
    <w:rsid w:val="00256A37"/>
    <w:rsid w:val="00257C98"/>
    <w:rsid w:val="0026568F"/>
    <w:rsid w:val="0027212F"/>
    <w:rsid w:val="00274110"/>
    <w:rsid w:val="00284362"/>
    <w:rsid w:val="002944CF"/>
    <w:rsid w:val="002959C5"/>
    <w:rsid w:val="00296C51"/>
    <w:rsid w:val="002A595D"/>
    <w:rsid w:val="002C5BC6"/>
    <w:rsid w:val="002D53A7"/>
    <w:rsid w:val="002D6D27"/>
    <w:rsid w:val="002F16F5"/>
    <w:rsid w:val="00313E79"/>
    <w:rsid w:val="00321AB5"/>
    <w:rsid w:val="003321F9"/>
    <w:rsid w:val="00337922"/>
    <w:rsid w:val="00340867"/>
    <w:rsid w:val="00342B37"/>
    <w:rsid w:val="00343C99"/>
    <w:rsid w:val="00352517"/>
    <w:rsid w:val="0036476D"/>
    <w:rsid w:val="00375F69"/>
    <w:rsid w:val="00380837"/>
    <w:rsid w:val="003B1F4F"/>
    <w:rsid w:val="003B6AB9"/>
    <w:rsid w:val="003B6C01"/>
    <w:rsid w:val="003B72F2"/>
    <w:rsid w:val="003B7FE8"/>
    <w:rsid w:val="003D1DF0"/>
    <w:rsid w:val="003F28AE"/>
    <w:rsid w:val="00410914"/>
    <w:rsid w:val="00415B73"/>
    <w:rsid w:val="00427431"/>
    <w:rsid w:val="0043084B"/>
    <w:rsid w:val="004551E1"/>
    <w:rsid w:val="0047207E"/>
    <w:rsid w:val="00475AD8"/>
    <w:rsid w:val="004A1B6B"/>
    <w:rsid w:val="004A24E9"/>
    <w:rsid w:val="004B745A"/>
    <w:rsid w:val="004E3044"/>
    <w:rsid w:val="004E3440"/>
    <w:rsid w:val="00504226"/>
    <w:rsid w:val="00527409"/>
    <w:rsid w:val="00536930"/>
    <w:rsid w:val="00536F85"/>
    <w:rsid w:val="00545762"/>
    <w:rsid w:val="00551866"/>
    <w:rsid w:val="00551B00"/>
    <w:rsid w:val="00564E53"/>
    <w:rsid w:val="00570F37"/>
    <w:rsid w:val="005716C6"/>
    <w:rsid w:val="005729D7"/>
    <w:rsid w:val="005826FF"/>
    <w:rsid w:val="00582C51"/>
    <w:rsid w:val="00583277"/>
    <w:rsid w:val="00584FE9"/>
    <w:rsid w:val="005918A3"/>
    <w:rsid w:val="00592CA3"/>
    <w:rsid w:val="005A0484"/>
    <w:rsid w:val="005A2392"/>
    <w:rsid w:val="005A5B6B"/>
    <w:rsid w:val="005A7E13"/>
    <w:rsid w:val="005D3B6B"/>
    <w:rsid w:val="005D58FE"/>
    <w:rsid w:val="005D648C"/>
    <w:rsid w:val="005E343B"/>
    <w:rsid w:val="005E467C"/>
    <w:rsid w:val="005E49E3"/>
    <w:rsid w:val="005F5AE4"/>
    <w:rsid w:val="00617A50"/>
    <w:rsid w:val="0062672D"/>
    <w:rsid w:val="00627913"/>
    <w:rsid w:val="00643EFB"/>
    <w:rsid w:val="00644FE2"/>
    <w:rsid w:val="00655132"/>
    <w:rsid w:val="00660B46"/>
    <w:rsid w:val="006652D3"/>
    <w:rsid w:val="0066675F"/>
    <w:rsid w:val="00670883"/>
    <w:rsid w:val="00674F07"/>
    <w:rsid w:val="0067640C"/>
    <w:rsid w:val="00681027"/>
    <w:rsid w:val="00681C57"/>
    <w:rsid w:val="00686067"/>
    <w:rsid w:val="00695256"/>
    <w:rsid w:val="006A6CBA"/>
    <w:rsid w:val="006B767B"/>
    <w:rsid w:val="006C4EBB"/>
    <w:rsid w:val="006D4712"/>
    <w:rsid w:val="006E678B"/>
    <w:rsid w:val="007013B0"/>
    <w:rsid w:val="00705692"/>
    <w:rsid w:val="00706C01"/>
    <w:rsid w:val="00740466"/>
    <w:rsid w:val="00741C8F"/>
    <w:rsid w:val="007462B9"/>
    <w:rsid w:val="00752F78"/>
    <w:rsid w:val="007757F3"/>
    <w:rsid w:val="00776A23"/>
    <w:rsid w:val="00791439"/>
    <w:rsid w:val="007B1A82"/>
    <w:rsid w:val="007C3D27"/>
    <w:rsid w:val="007D2485"/>
    <w:rsid w:val="007D7C24"/>
    <w:rsid w:val="007E6AEB"/>
    <w:rsid w:val="00802F11"/>
    <w:rsid w:val="008303DC"/>
    <w:rsid w:val="00836B24"/>
    <w:rsid w:val="00883B90"/>
    <w:rsid w:val="00885009"/>
    <w:rsid w:val="008973EE"/>
    <w:rsid w:val="008C2D23"/>
    <w:rsid w:val="009150FD"/>
    <w:rsid w:val="00942D36"/>
    <w:rsid w:val="00971600"/>
    <w:rsid w:val="00972F56"/>
    <w:rsid w:val="00975348"/>
    <w:rsid w:val="0099182F"/>
    <w:rsid w:val="009973B4"/>
    <w:rsid w:val="009A1A96"/>
    <w:rsid w:val="009A50D5"/>
    <w:rsid w:val="009D550E"/>
    <w:rsid w:val="009D72A3"/>
    <w:rsid w:val="009D7B32"/>
    <w:rsid w:val="009E29D9"/>
    <w:rsid w:val="009F7EED"/>
    <w:rsid w:val="00A02F19"/>
    <w:rsid w:val="00A037F5"/>
    <w:rsid w:val="00A05264"/>
    <w:rsid w:val="00A341DD"/>
    <w:rsid w:val="00A37EF3"/>
    <w:rsid w:val="00A40046"/>
    <w:rsid w:val="00A7012F"/>
    <w:rsid w:val="00A7497D"/>
    <w:rsid w:val="00A754E5"/>
    <w:rsid w:val="00A841C5"/>
    <w:rsid w:val="00A84C72"/>
    <w:rsid w:val="00A85781"/>
    <w:rsid w:val="00A90E45"/>
    <w:rsid w:val="00A91799"/>
    <w:rsid w:val="00AA2A51"/>
    <w:rsid w:val="00AA5FE2"/>
    <w:rsid w:val="00AA71F5"/>
    <w:rsid w:val="00AC080B"/>
    <w:rsid w:val="00AC75D3"/>
    <w:rsid w:val="00AD5458"/>
    <w:rsid w:val="00AF0AAB"/>
    <w:rsid w:val="00AF1367"/>
    <w:rsid w:val="00B0264F"/>
    <w:rsid w:val="00B066DC"/>
    <w:rsid w:val="00B17B62"/>
    <w:rsid w:val="00B2600C"/>
    <w:rsid w:val="00B27FB9"/>
    <w:rsid w:val="00B41576"/>
    <w:rsid w:val="00B64499"/>
    <w:rsid w:val="00B65E20"/>
    <w:rsid w:val="00B7610C"/>
    <w:rsid w:val="00B84EEC"/>
    <w:rsid w:val="00B94394"/>
    <w:rsid w:val="00B952A0"/>
    <w:rsid w:val="00BD2868"/>
    <w:rsid w:val="00BD69AB"/>
    <w:rsid w:val="00BD6D13"/>
    <w:rsid w:val="00BD7068"/>
    <w:rsid w:val="00BE053C"/>
    <w:rsid w:val="00BF4A9F"/>
    <w:rsid w:val="00BF537F"/>
    <w:rsid w:val="00BF597E"/>
    <w:rsid w:val="00C05132"/>
    <w:rsid w:val="00C106BE"/>
    <w:rsid w:val="00C12228"/>
    <w:rsid w:val="00C250FE"/>
    <w:rsid w:val="00C35A60"/>
    <w:rsid w:val="00C51A36"/>
    <w:rsid w:val="00C55228"/>
    <w:rsid w:val="00C67B6D"/>
    <w:rsid w:val="00C87F35"/>
    <w:rsid w:val="00CA29CA"/>
    <w:rsid w:val="00CC25DE"/>
    <w:rsid w:val="00CD2F73"/>
    <w:rsid w:val="00CE315A"/>
    <w:rsid w:val="00CE5669"/>
    <w:rsid w:val="00CE5737"/>
    <w:rsid w:val="00CE7C0D"/>
    <w:rsid w:val="00CF1F8E"/>
    <w:rsid w:val="00D03C4D"/>
    <w:rsid w:val="00D06F59"/>
    <w:rsid w:val="00D072FA"/>
    <w:rsid w:val="00D17061"/>
    <w:rsid w:val="00D2543B"/>
    <w:rsid w:val="00D27E36"/>
    <w:rsid w:val="00D8388C"/>
    <w:rsid w:val="00DC68D9"/>
    <w:rsid w:val="00DE0D69"/>
    <w:rsid w:val="00DF015D"/>
    <w:rsid w:val="00DF0A80"/>
    <w:rsid w:val="00E027E3"/>
    <w:rsid w:val="00E06AE3"/>
    <w:rsid w:val="00E147EA"/>
    <w:rsid w:val="00E14BE7"/>
    <w:rsid w:val="00E26830"/>
    <w:rsid w:val="00E361FA"/>
    <w:rsid w:val="00E5298B"/>
    <w:rsid w:val="00E6211B"/>
    <w:rsid w:val="00E71D2B"/>
    <w:rsid w:val="00E812B7"/>
    <w:rsid w:val="00E869BC"/>
    <w:rsid w:val="00E9149C"/>
    <w:rsid w:val="00E9368A"/>
    <w:rsid w:val="00EB0164"/>
    <w:rsid w:val="00EB1E90"/>
    <w:rsid w:val="00ED0799"/>
    <w:rsid w:val="00ED0F62"/>
    <w:rsid w:val="00ED6575"/>
    <w:rsid w:val="00EE2145"/>
    <w:rsid w:val="00EE5DF5"/>
    <w:rsid w:val="00EE6B2B"/>
    <w:rsid w:val="00F23C05"/>
    <w:rsid w:val="00F264B0"/>
    <w:rsid w:val="00F26FC9"/>
    <w:rsid w:val="00F62D52"/>
    <w:rsid w:val="00F6330D"/>
    <w:rsid w:val="00F64739"/>
    <w:rsid w:val="00F76150"/>
    <w:rsid w:val="00F840A7"/>
    <w:rsid w:val="00F96475"/>
    <w:rsid w:val="00F970E6"/>
    <w:rsid w:val="00FA0833"/>
    <w:rsid w:val="00FA287B"/>
    <w:rsid w:val="00FA3F96"/>
    <w:rsid w:val="00FA4AB8"/>
    <w:rsid w:val="00FB6394"/>
    <w:rsid w:val="00FE1DCD"/>
    <w:rsid w:val="00FE2CC5"/>
    <w:rsid w:val="00FF3DBC"/>
    <w:rsid w:val="108219C2"/>
    <w:rsid w:val="232C0DD7"/>
    <w:rsid w:val="2904450D"/>
    <w:rsid w:val="2D4D37AE"/>
    <w:rsid w:val="4E4B371E"/>
    <w:rsid w:val="55593ADA"/>
    <w:rsid w:val="5EA12B9A"/>
    <w:rsid w:val="7C667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1"/>
    <w:pPr>
      <w:autoSpaceDE w:val="0"/>
      <w:autoSpaceDN w:val="0"/>
      <w:adjustRightInd w:val="0"/>
      <w:ind w:left="2713" w:hanging="168"/>
      <w:jc w:val="left"/>
      <w:outlineLvl w:val="0"/>
    </w:pPr>
    <w:rPr>
      <w:rFonts w:hint="eastAsia" w:ascii="隶书" w:hAnsi="隶书" w:eastAsia="隶书"/>
      <w:kern w:val="0"/>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uiPriority w:val="99"/>
    <w:rPr>
      <w:rFonts w:ascii="宋体" w:hAnsi="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标题 1 Char"/>
    <w:basedOn w:val="8"/>
    <w:link w:val="2"/>
    <w:qFormat/>
    <w:uiPriority w:val="1"/>
    <w:rPr>
      <w:rFonts w:ascii="隶书" w:hAnsi="隶书" w:eastAsia="隶书" w:cs="Times New Roman"/>
      <w:sz w:val="44"/>
    </w:rPr>
  </w:style>
  <w:style w:type="character" w:customStyle="1" w:styleId="14">
    <w:name w:val="纯文本 Char"/>
    <w:basedOn w:val="8"/>
    <w:link w:val="3"/>
    <w:uiPriority w:val="99"/>
    <w:rPr>
      <w:rFonts w:ascii="宋体" w:hAnsi="Courier New"/>
      <w:kern w:val="2"/>
      <w:sz w:val="21"/>
      <w:szCs w:val="21"/>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1172</Words>
  <Characters>6684</Characters>
  <Lines>55</Lines>
  <Paragraphs>15</Paragraphs>
  <TotalTime>2</TotalTime>
  <ScaleCrop>false</ScaleCrop>
  <LinksUpToDate>false</LinksUpToDate>
  <CharactersWithSpaces>7841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2021-12-10T03:39:31Z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36EAEBAE22934D749F57CE5E90BEB4F5</vt:lpwstr>
  </property>
</Properties>
</file>