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楷体" w:hAnsi="楷体" w:eastAsia="楷体"/>
          <w:bCs/>
          <w:sz w:val="36"/>
          <w:szCs w:val="36"/>
        </w:rPr>
      </w:pPr>
      <w:r>
        <w:rPr>
          <w:rFonts w:hint="eastAsia" w:ascii="楷体" w:hAnsi="楷体" w:eastAsia="楷体"/>
          <w:bCs/>
          <w:sz w:val="36"/>
          <w:szCs w:val="36"/>
        </w:rPr>
        <w:t>管理体系审核记录表</w:t>
      </w:r>
    </w:p>
    <w:tbl>
      <w:tblPr>
        <w:tblStyle w:val="12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11"/>
        <w:gridCol w:w="10463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before="120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过程与活动、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涉及条款</w:t>
            </w:r>
          </w:p>
        </w:tc>
        <w:tc>
          <w:tcPr>
            <w:tcW w:w="1046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受审核部门：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主管领导：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</w:t>
            </w:r>
            <w:bookmarkStart w:id="0" w:name="_GoBack"/>
            <w:bookmarkEnd w:id="0"/>
          </w:p>
        </w:tc>
        <w:tc>
          <w:tcPr>
            <w:tcW w:w="1126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0463" w:type="dxa"/>
            <w:vAlign w:val="center"/>
          </w:tcPr>
          <w:p>
            <w:pPr>
              <w:spacing w:before="120"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审核员：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温红玲（远程）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审核时间：2021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年12月11日</w:t>
            </w:r>
          </w:p>
        </w:tc>
        <w:tc>
          <w:tcPr>
            <w:tcW w:w="1126" w:type="dxa"/>
            <w:vMerge w:val="continue"/>
          </w:tcPr>
          <w:p>
            <w:pPr>
              <w:spacing w:line="360" w:lineRule="auto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046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05" w:rightChars="5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审核条款：</w:t>
            </w:r>
          </w:p>
          <w:p>
            <w:pPr>
              <w:adjustRightInd w:val="0"/>
              <w:snapToGrid w:val="0"/>
              <w:spacing w:line="360" w:lineRule="auto"/>
              <w:ind w:right="105" w:rightChars="5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E/OMS: 5.3组织的岗位、职责和权限、6.2环境与职业健康安全目标、6.1.2环境因素/危险源辨识与评价、8.1运行策划和控制，</w:t>
            </w:r>
          </w:p>
        </w:tc>
        <w:tc>
          <w:tcPr>
            <w:tcW w:w="1126" w:type="dxa"/>
            <w:vMerge w:val="continue"/>
          </w:tcPr>
          <w:p>
            <w:pPr>
              <w:spacing w:line="360" w:lineRule="auto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1809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Arial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组织的岗位、职责和权限</w:t>
            </w:r>
          </w:p>
        </w:tc>
        <w:tc>
          <w:tcPr>
            <w:tcW w:w="1311" w:type="dxa"/>
            <w:vAlign w:val="top"/>
          </w:tcPr>
          <w:p>
            <w:pPr>
              <w:spacing w:line="360" w:lineRule="auto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5.3</w:t>
            </w:r>
          </w:p>
        </w:tc>
        <w:tc>
          <w:tcPr>
            <w:tcW w:w="10463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部门负责人：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吴杰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a)参与方针和目标、指标的决策，协助总经理贯彻管理方针，实现管理目标，确保管理体系的有效运行，参与管理评审工作。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b)分管公司的经济运行、成本分析和财务管理工作。针对公司经营活动情况、资金动态、营业收入和费用开支的资料并进行分析、提出建议，定期向总经理报告。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c)参与风险因素与规避的辨识。负责各产品成本计算及损益决算，预估成本协助作业及差异分析。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d) 负责经营报告资料编制。效率奖金核算、年度预算资料汇总。负责绩效分析与考核过程的运作的控制。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e)负责资源能源的消耗统计，原物料进出帐务及成本处理。进出帐务处理及成本计算。各产品成本计算及损益决算。预估成本协助作业及差异分析。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f)固体废弃物及危险废物分类处置</w:t>
            </w:r>
          </w:p>
          <w:p>
            <w:pPr>
              <w:spacing w:line="360" w:lineRule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询问负责人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吴杰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，职责明确。</w:t>
            </w:r>
          </w:p>
        </w:tc>
        <w:tc>
          <w:tcPr>
            <w:tcW w:w="1126" w:type="dxa"/>
          </w:tcPr>
          <w:p>
            <w:pPr>
              <w:spacing w:line="360" w:lineRule="auto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1" w:hRule="atLeast"/>
        </w:trPr>
        <w:tc>
          <w:tcPr>
            <w:tcW w:w="180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环境因素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</w:rPr>
              <w:t>危险源识别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与评价</w:t>
            </w:r>
          </w:p>
        </w:tc>
        <w:tc>
          <w:tcPr>
            <w:tcW w:w="1311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O6.1.2</w:t>
            </w:r>
          </w:p>
        </w:tc>
        <w:tc>
          <w:tcPr>
            <w:tcW w:w="10463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提供了《环境因素识别、评价与更新控制程序》、《危险源辨识及其风险评价的控制措施确定程序》，对环境因素、危险源的识别、评价结果、控制手段等做出了规定。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部门负责人介绍了对环境因素、危险源进行了辨识，考虑了三种时态，过去、现在和将来，三种状态，正常、异常和紧急，按照办公区域及工作过程，另外按照区域及工作过程等进行了辨识。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查到：《重要环境因素清单》，公司涉及重要环境因素：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石灰石、碎石运输过程废气排放和</w:t>
            </w:r>
            <w:r>
              <w:rPr>
                <w:rFonts w:hint="eastAsia"/>
                <w:sz w:val="21"/>
                <w:szCs w:val="21"/>
              </w:rPr>
              <w:t>粉尘的排放、噪声排放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危废物的排放等</w:t>
            </w:r>
            <w:r>
              <w:rPr>
                <w:rFonts w:hint="eastAsia"/>
                <w:sz w:val="21"/>
                <w:szCs w:val="21"/>
              </w:rPr>
              <w:t>；涉及财务部有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项重要环境因素，包括：火灾、固体废弃物的排放。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查到：《重大危险源清单》，公司涉及重大危险源：机械伤害、职业病、火灾爆炸、触电等，本部门涉及的不可接受风险：火灾爆炸、触电。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对于环境因素、重要环境因素及危险源、不可接受风险等通过运行控制、管理方案、应急准备与响应进行控制。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财务部</w:t>
            </w:r>
            <w:r>
              <w:rPr>
                <w:rFonts w:hint="eastAsia"/>
                <w:sz w:val="21"/>
                <w:szCs w:val="21"/>
              </w:rPr>
              <w:t>环境因素、危险源的识别、评价基本符合标准要求。</w:t>
            </w:r>
          </w:p>
        </w:tc>
        <w:tc>
          <w:tcPr>
            <w:tcW w:w="112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809" w:type="dxa"/>
            <w:vAlign w:val="top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运行策划和控制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1" w:type="dxa"/>
            <w:vAlign w:val="top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8.1 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63" w:type="dxa"/>
            <w:vAlign w:val="top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本部门应执行的运行控制文件包括：环境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/职业健康安全</w:t>
            </w:r>
            <w:r>
              <w:rPr>
                <w:rFonts w:hint="eastAsia"/>
                <w:sz w:val="21"/>
                <w:szCs w:val="21"/>
              </w:rPr>
              <w:t>运行控制程序等。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查运行控制情况：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办公过程注意节约用电，</w:t>
            </w:r>
            <w:r>
              <w:rPr>
                <w:rFonts w:hint="eastAsia"/>
                <w:sz w:val="21"/>
                <w:szCs w:val="21"/>
                <w:lang w:eastAsia="zh-CN"/>
              </w:rPr>
              <w:t>仓储部</w:t>
            </w:r>
            <w:r>
              <w:rPr>
                <w:rFonts w:hint="eastAsia"/>
                <w:sz w:val="21"/>
                <w:szCs w:val="21"/>
              </w:rPr>
              <w:t>做到人走灯灭，电脑长时间不用时关机，下班前要关闭电源；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办公过程产生的固废按</w:t>
            </w:r>
            <w:r>
              <w:rPr>
                <w:rFonts w:hint="eastAsia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/>
                <w:sz w:val="21"/>
                <w:szCs w:val="21"/>
              </w:rPr>
              <w:t>要求放到指定地点，现场查看无混放现象；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工作时间平均每天不超过8小时，公司为员工办理了意外伤害等保险；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远程查看</w:t>
            </w:r>
            <w:r>
              <w:rPr>
                <w:rFonts w:hint="eastAsia"/>
                <w:sz w:val="21"/>
                <w:szCs w:val="21"/>
              </w:rPr>
              <w:t>现场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仓储</w:t>
            </w:r>
            <w:r>
              <w:rPr>
                <w:rFonts w:hint="eastAsia"/>
                <w:sz w:val="21"/>
                <w:szCs w:val="21"/>
                <w:lang w:eastAsia="zh-CN"/>
              </w:rPr>
              <w:t>部</w:t>
            </w:r>
            <w:r>
              <w:rPr>
                <w:rFonts w:hint="eastAsia"/>
                <w:sz w:val="21"/>
                <w:szCs w:val="21"/>
              </w:rPr>
              <w:t>配置了灭火器，无火灾、触电隐患，废弃物无混放现象。</w:t>
            </w:r>
          </w:p>
          <w:p>
            <w:pPr>
              <w:pStyle w:val="2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查</w:t>
            </w:r>
            <w:r>
              <w:rPr>
                <w:rFonts w:hint="eastAsia"/>
                <w:lang w:val="en-US" w:eastAsia="zh-CN"/>
              </w:rPr>
              <w:t>提供《环境和职业健康安全投资费用表》，</w:t>
            </w:r>
            <w:r>
              <w:rPr>
                <w:rFonts w:hint="eastAsia"/>
              </w:rPr>
              <w:t>对环境和职业健康安全有关的费用包括：</w:t>
            </w:r>
          </w:p>
          <w:p>
            <w:pPr>
              <w:pStyle w:val="2"/>
              <w:spacing w:line="360" w:lineRule="auto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能源消耗费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 xml:space="preserve">资源消耗费 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废弃物排放</w:t>
            </w:r>
            <w:r>
              <w:rPr>
                <w:rFonts w:hint="eastAsia"/>
                <w:lang w:val="en-US" w:eastAsia="zh-CN"/>
              </w:rPr>
              <w:t>费用</w:t>
            </w:r>
            <w:r>
              <w:rPr>
                <w:rFonts w:hint="eastAsia"/>
              </w:rPr>
              <w:t>：危废处理费 环境监测费用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特种设备检测费用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人员资质培训和考试费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消防检测费用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消防维保费用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监视和测量设备检定费用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环境影响评价费用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环保设备运行费用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消防设施运行费用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应急费用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安全评价费用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职业病危害评价费用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体检费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安全监测费用特种设备检测费用</w:t>
            </w:r>
            <w:r>
              <w:rPr>
                <w:rFonts w:hint="eastAsia"/>
                <w:lang w:val="en-US" w:eastAsia="zh-CN"/>
              </w:rPr>
              <w:t>等</w:t>
            </w:r>
          </w:p>
          <w:p>
            <w:pPr>
              <w:pStyle w:val="2"/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本年度至今的支出大约人民币</w:t>
            </w:r>
            <w:r>
              <w:rPr>
                <w:rFonts w:hint="eastAsia"/>
                <w:lang w:val="en-US" w:eastAsia="zh-CN"/>
              </w:rPr>
              <w:t>191.39</w:t>
            </w:r>
            <w:r>
              <w:rPr>
                <w:rFonts w:hint="eastAsia"/>
              </w:rPr>
              <w:t>万元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其中消防费用7.1万元、环保费用14.38万元、培训费用11.35万元、劳保用品21.47万元、员工保险费137.09，提供有完税证明：</w:t>
            </w:r>
          </w:p>
          <w:p>
            <w:pPr>
              <w:pStyle w:val="2"/>
              <w:spacing w:line="360" w:lineRule="auto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部门运行控制基本能符合标准规定的要求。</w:t>
            </w:r>
          </w:p>
        </w:tc>
        <w:tc>
          <w:tcPr>
            <w:tcW w:w="1126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应急准备和响应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EO8.2</w:t>
            </w:r>
          </w:p>
          <w:p>
            <w:pPr>
              <w:spacing w:line="360" w:lineRule="auto"/>
              <w:rPr>
                <w:rFonts w:ascii="楷体" w:hAnsi="楷体" w:eastAsia="楷体" w:cs="楷体"/>
                <w:bCs/>
                <w:sz w:val="21"/>
                <w:szCs w:val="21"/>
              </w:rPr>
            </w:pPr>
          </w:p>
        </w:tc>
        <w:tc>
          <w:tcPr>
            <w:tcW w:w="10463" w:type="dxa"/>
            <w:vAlign w:val="center"/>
          </w:tcPr>
          <w:p>
            <w:pPr>
              <w:pStyle w:val="2"/>
              <w:spacing w:line="360" w:lineRule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财务部</w:t>
            </w:r>
            <w:r>
              <w:rPr>
                <w:rFonts w:hint="eastAsia" w:ascii="Times New Roman" w:hAnsi="Times New Roman" w:eastAsia="宋体" w:cs="Times New Roman"/>
              </w:rPr>
              <w:t>按照策划的《应急准备和响应措施程序》等，明确了相应的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应急准备和响应</w:t>
            </w:r>
            <w:r>
              <w:rPr>
                <w:rFonts w:hint="eastAsia" w:ascii="Times New Roman" w:hAnsi="Times New Roman" w:eastAsia="宋体" w:cs="Times New Roman"/>
              </w:rPr>
              <w:t>运行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控制</w:t>
            </w:r>
            <w:r>
              <w:rPr>
                <w:rFonts w:hint="eastAsia" w:ascii="Times New Roman" w:hAnsi="Times New Roman" w:eastAsia="宋体" w:cs="Times New Roman"/>
              </w:rPr>
              <w:t>准则。</w:t>
            </w:r>
          </w:p>
          <w:p>
            <w:pPr>
              <w:pStyle w:val="2"/>
              <w:spacing w:line="360" w:lineRule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办公</w:t>
            </w:r>
            <w:r>
              <w:rPr>
                <w:rFonts w:hint="eastAsia" w:ascii="Times New Roman" w:hAnsi="Times New Roman" w:eastAsia="宋体" w:cs="Times New Roman"/>
              </w:rPr>
              <w:t>过程中加强用电安全，防止触电事故和火灾事故的发生，安装了漏电保护器。</w:t>
            </w:r>
          </w:p>
          <w:p>
            <w:pPr>
              <w:pStyle w:val="2"/>
              <w:spacing w:line="360" w:lineRule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远程</w:t>
            </w:r>
            <w:r>
              <w:rPr>
                <w:rFonts w:hint="eastAsia" w:ascii="Times New Roman" w:hAnsi="Times New Roman" w:eastAsia="宋体" w:cs="Times New Roman"/>
              </w:rPr>
              <w:t>现场查看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财务部</w:t>
            </w:r>
            <w:r>
              <w:rPr>
                <w:rFonts w:hint="eastAsia" w:ascii="Times New Roman" w:hAnsi="Times New Roman" w:eastAsia="宋体" w:cs="Times New Roman"/>
              </w:rPr>
              <w:t xml:space="preserve">门口灭火器在有效期内。  </w:t>
            </w:r>
          </w:p>
          <w:p>
            <w:pPr>
              <w:pStyle w:val="2"/>
              <w:spacing w:line="360" w:lineRule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有“禁止吸烟”，“小心触电” 等环保、安全警示标识。</w:t>
            </w:r>
          </w:p>
          <w:p>
            <w:pPr>
              <w:pStyle w:val="2"/>
              <w:spacing w:line="360" w:lineRule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配有急救药箱，箱内有创可贴、消毒酒精、碘伏、棉棒等。</w:t>
            </w:r>
          </w:p>
          <w:p>
            <w:pPr>
              <w:pStyle w:val="2"/>
              <w:spacing w:line="360" w:lineRule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查2021年7月17日参加了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行政部</w:t>
            </w:r>
            <w:r>
              <w:rPr>
                <w:rFonts w:hint="eastAsia" w:ascii="Times New Roman" w:hAnsi="Times New Roman" w:eastAsia="宋体" w:cs="Times New Roman"/>
              </w:rPr>
              <w:t>组织的火灾预案演练，提供了相关记录。</w:t>
            </w:r>
          </w:p>
          <w:p>
            <w:pPr>
              <w:pStyle w:val="2"/>
              <w:spacing w:line="360" w:lineRule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查</w:t>
            </w:r>
            <w:r>
              <w:rPr>
                <w:rFonts w:hint="eastAsia" w:ascii="Times New Roman" w:hAnsi="Times New Roman" w:eastAsia="宋体" w:cs="Times New Roman"/>
              </w:rPr>
              <w:t>2021 年 7 月 1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</w:rPr>
              <w:t xml:space="preserve"> 日参加了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行政部</w:t>
            </w:r>
            <w:r>
              <w:rPr>
                <w:rFonts w:hint="eastAsia" w:ascii="Times New Roman" w:hAnsi="Times New Roman" w:eastAsia="宋体" w:cs="Times New Roman"/>
              </w:rPr>
              <w:t>组织的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叉车事故</w:t>
            </w:r>
            <w:r>
              <w:rPr>
                <w:rFonts w:hint="eastAsia" w:ascii="Times New Roman" w:hAnsi="Times New Roman" w:eastAsia="宋体" w:cs="Times New Roman"/>
              </w:rPr>
              <w:t>预案演练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地点；</w:t>
            </w:r>
            <w:r>
              <w:rPr>
                <w:rFonts w:hint="eastAsia" w:ascii="Times New Roman" w:hAnsi="Times New Roman" w:eastAsia="宋体" w:cs="Times New Roman"/>
              </w:rPr>
              <w:t>石灰窑仓库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</w:rPr>
              <w:t>，提供了相关记录。</w:t>
            </w:r>
          </w:p>
          <w:p>
            <w:pPr>
              <w:pStyle w:val="2"/>
              <w:spacing w:line="360" w:lineRule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应急准备和响应实施方案具有可操作性，应急求援人员已基本掌握该方案，能够应付突发事件。</w:t>
            </w:r>
          </w:p>
          <w:p>
            <w:pPr>
              <w:pStyle w:val="2"/>
              <w:spacing w:line="360" w:lineRule="auto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</w:rPr>
              <w:t>自体系运行以来未出现应急事故情况。</w:t>
            </w:r>
          </w:p>
        </w:tc>
        <w:tc>
          <w:tcPr>
            <w:tcW w:w="1126" w:type="dxa"/>
            <w:vAlign w:val="top"/>
          </w:tcPr>
          <w:p>
            <w:pPr>
              <w:spacing w:line="360" w:lineRule="auto"/>
              <w:rPr>
                <w:rFonts w:ascii="楷体" w:hAnsi="楷体" w:eastAsia="楷体"/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</w:t>
            </w:r>
          </w:p>
        </w:tc>
      </w:tr>
    </w:tbl>
    <w:p>
      <w:pPr>
        <w:rPr>
          <w:rFonts w:ascii="楷体" w:hAnsi="楷体" w:eastAsia="楷体"/>
        </w:rPr>
      </w:pPr>
      <w:r>
        <w:rPr>
          <w:rFonts w:ascii="楷体" w:hAnsi="楷体" w:eastAsia="楷体"/>
        </w:rPr>
        <w:ptab w:relativeTo="margin" w:alignment="center" w:leader="none"/>
      </w:r>
    </w:p>
    <w:p>
      <w:pPr>
        <w:pStyle w:val="8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7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0" t="0" r="9525" b="9525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4098" o:spt="202" type="#_x0000_t202" style="position:absolute;left:0pt;margin-left:620.4pt;margin-top:12.55pt;height:20.2pt;width:102.7pt;z-index:251659264;mso-width-relative:page;mso-height-relative:page;" fillcolor="#FFFFFF" filled="t" stroked="f" coordsize="21600,21600" o:gfxdata="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CQfhE2AAAAAsBAAAPAAAAAAAAAAEAIAAAACIAAABkcnMvZG93bnJldi54&#10;bWxQSwECFAAUAAAACACHTuJAZsEoGMEBAAB3AwAADgAAAAAAAAABACAAAAAnAQAAZHJzL2Uyb0Rv&#10;Yy54bWxQSwUGAAAAAAYABgBZAQAAWgUAAAAA&#10;">
          <v:path/>
          <v:fill on="t" focussize="0,0"/>
          <v:stroke on="f"/>
          <v:imagedata o:title=""/>
          <o:lock v:ext="edit" aspectratio="f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17"/>
        <w:rFonts w:hint="default"/>
      </w:rPr>
      <w:t>北京国标联合认证有限公司</w:t>
    </w:r>
    <w:r>
      <w:rPr>
        <w:rStyle w:val="17"/>
        <w:rFonts w:hint="default"/>
      </w:rPr>
      <w:tab/>
    </w:r>
    <w:r>
      <w:rPr>
        <w:rStyle w:val="17"/>
        <w:rFonts w:hint="default"/>
      </w:rPr>
      <w:tab/>
    </w:r>
    <w:r>
      <w:rPr>
        <w:rStyle w:val="17"/>
        <w:rFonts w:hint="default"/>
      </w:rPr>
      <w:tab/>
    </w:r>
  </w:p>
  <w:p>
    <w:pPr>
      <w:pStyle w:val="9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7"/>
        <w:rFonts w:hint="default"/>
        <w:w w:val="90"/>
      </w:rPr>
      <w:t>Beijing International Standard united Certification Co.,Ltd.</w:t>
    </w:r>
  </w:p>
  <w:p>
    <w:pPr>
      <w:pStyle w:val="9"/>
      <w:pBdr>
        <w:bottom w:val="none" w:color="auto" w:sz="0" w:space="1"/>
      </w:pBdr>
      <w:spacing w:line="320" w:lineRule="exact"/>
      <w:jc w:val="left"/>
    </w:pPr>
    <w:r>
      <w:rPr>
        <w:rStyle w:val="17"/>
        <w:rFonts w:hint="default"/>
        <w:w w:val="90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38DC"/>
    <w:rsid w:val="00004817"/>
    <w:rsid w:val="000146B2"/>
    <w:rsid w:val="00014A12"/>
    <w:rsid w:val="000214B6"/>
    <w:rsid w:val="0002531E"/>
    <w:rsid w:val="000277D0"/>
    <w:rsid w:val="0003138C"/>
    <w:rsid w:val="00032100"/>
    <w:rsid w:val="0003373A"/>
    <w:rsid w:val="00035FB9"/>
    <w:rsid w:val="000412F6"/>
    <w:rsid w:val="00044945"/>
    <w:rsid w:val="00045092"/>
    <w:rsid w:val="0005199E"/>
    <w:rsid w:val="00052580"/>
    <w:rsid w:val="0005697E"/>
    <w:rsid w:val="000579CF"/>
    <w:rsid w:val="00060270"/>
    <w:rsid w:val="000605A7"/>
    <w:rsid w:val="00061EE8"/>
    <w:rsid w:val="00061F6E"/>
    <w:rsid w:val="000811D9"/>
    <w:rsid w:val="00081CD2"/>
    <w:rsid w:val="000821FC"/>
    <w:rsid w:val="00082216"/>
    <w:rsid w:val="00082398"/>
    <w:rsid w:val="00083343"/>
    <w:rsid w:val="000849D2"/>
    <w:rsid w:val="00084DAD"/>
    <w:rsid w:val="000870FB"/>
    <w:rsid w:val="00087401"/>
    <w:rsid w:val="00092F91"/>
    <w:rsid w:val="00094791"/>
    <w:rsid w:val="000A067A"/>
    <w:rsid w:val="000A30F9"/>
    <w:rsid w:val="000A5E44"/>
    <w:rsid w:val="000A6B86"/>
    <w:rsid w:val="000B1394"/>
    <w:rsid w:val="000B40BD"/>
    <w:rsid w:val="000B6EAD"/>
    <w:rsid w:val="000C0639"/>
    <w:rsid w:val="000C123B"/>
    <w:rsid w:val="000C25C3"/>
    <w:rsid w:val="000C2D5B"/>
    <w:rsid w:val="000D4F09"/>
    <w:rsid w:val="000D5401"/>
    <w:rsid w:val="000D697A"/>
    <w:rsid w:val="000D763A"/>
    <w:rsid w:val="000E2B69"/>
    <w:rsid w:val="000E2C6E"/>
    <w:rsid w:val="000E355F"/>
    <w:rsid w:val="000E4402"/>
    <w:rsid w:val="000E4767"/>
    <w:rsid w:val="000E721A"/>
    <w:rsid w:val="000E7EF7"/>
    <w:rsid w:val="000F35F1"/>
    <w:rsid w:val="000F38E4"/>
    <w:rsid w:val="000F7D53"/>
    <w:rsid w:val="001022F1"/>
    <w:rsid w:val="00103234"/>
    <w:rsid w:val="001037D5"/>
    <w:rsid w:val="00106F20"/>
    <w:rsid w:val="001076D1"/>
    <w:rsid w:val="0011516C"/>
    <w:rsid w:val="00123A35"/>
    <w:rsid w:val="00124A78"/>
    <w:rsid w:val="00132572"/>
    <w:rsid w:val="00135F92"/>
    <w:rsid w:val="0013745B"/>
    <w:rsid w:val="00144917"/>
    <w:rsid w:val="00145688"/>
    <w:rsid w:val="001456CB"/>
    <w:rsid w:val="001462CD"/>
    <w:rsid w:val="00147EDB"/>
    <w:rsid w:val="00152DB7"/>
    <w:rsid w:val="001564F9"/>
    <w:rsid w:val="00157722"/>
    <w:rsid w:val="001662A1"/>
    <w:rsid w:val="001677C1"/>
    <w:rsid w:val="00170B6A"/>
    <w:rsid w:val="0017204F"/>
    <w:rsid w:val="00176572"/>
    <w:rsid w:val="00176B5D"/>
    <w:rsid w:val="00181F3C"/>
    <w:rsid w:val="001833DD"/>
    <w:rsid w:val="00183631"/>
    <w:rsid w:val="00187059"/>
    <w:rsid w:val="00187C5A"/>
    <w:rsid w:val="001918ED"/>
    <w:rsid w:val="00192A7F"/>
    <w:rsid w:val="001940FC"/>
    <w:rsid w:val="00194D96"/>
    <w:rsid w:val="001972C0"/>
    <w:rsid w:val="001A2D7F"/>
    <w:rsid w:val="001A3DF8"/>
    <w:rsid w:val="001A572D"/>
    <w:rsid w:val="001A6166"/>
    <w:rsid w:val="001A7197"/>
    <w:rsid w:val="001B324E"/>
    <w:rsid w:val="001B36F4"/>
    <w:rsid w:val="001B5EC9"/>
    <w:rsid w:val="001B6887"/>
    <w:rsid w:val="001B6E5E"/>
    <w:rsid w:val="001B700E"/>
    <w:rsid w:val="001C0776"/>
    <w:rsid w:val="001C2BC9"/>
    <w:rsid w:val="001C34EA"/>
    <w:rsid w:val="001C39CB"/>
    <w:rsid w:val="001D1D7C"/>
    <w:rsid w:val="001D4AD8"/>
    <w:rsid w:val="001D54FF"/>
    <w:rsid w:val="001D5787"/>
    <w:rsid w:val="001E1974"/>
    <w:rsid w:val="001E312D"/>
    <w:rsid w:val="001E72C1"/>
    <w:rsid w:val="001F2D6A"/>
    <w:rsid w:val="001F4890"/>
    <w:rsid w:val="001F71E8"/>
    <w:rsid w:val="00202594"/>
    <w:rsid w:val="00202BC2"/>
    <w:rsid w:val="00214113"/>
    <w:rsid w:val="00215081"/>
    <w:rsid w:val="0022048B"/>
    <w:rsid w:val="00222532"/>
    <w:rsid w:val="002244CE"/>
    <w:rsid w:val="002247B6"/>
    <w:rsid w:val="00235A5D"/>
    <w:rsid w:val="00235ED5"/>
    <w:rsid w:val="00237445"/>
    <w:rsid w:val="00245047"/>
    <w:rsid w:val="00245CB6"/>
    <w:rsid w:val="00253CBF"/>
    <w:rsid w:val="002612B5"/>
    <w:rsid w:val="00262AFE"/>
    <w:rsid w:val="00262DC0"/>
    <w:rsid w:val="002651A6"/>
    <w:rsid w:val="002715B5"/>
    <w:rsid w:val="002760CB"/>
    <w:rsid w:val="0027659A"/>
    <w:rsid w:val="002769EB"/>
    <w:rsid w:val="0028195E"/>
    <w:rsid w:val="00282AB8"/>
    <w:rsid w:val="002918D0"/>
    <w:rsid w:val="00293C8B"/>
    <w:rsid w:val="0029464B"/>
    <w:rsid w:val="002973F0"/>
    <w:rsid w:val="002975C1"/>
    <w:rsid w:val="002A0E6E"/>
    <w:rsid w:val="002A33CC"/>
    <w:rsid w:val="002A4A4F"/>
    <w:rsid w:val="002A5E69"/>
    <w:rsid w:val="002A62D8"/>
    <w:rsid w:val="002B1808"/>
    <w:rsid w:val="002C1ACE"/>
    <w:rsid w:val="002C3E0D"/>
    <w:rsid w:val="002C60B0"/>
    <w:rsid w:val="002D41FB"/>
    <w:rsid w:val="002E0587"/>
    <w:rsid w:val="002E1E1D"/>
    <w:rsid w:val="002E72F8"/>
    <w:rsid w:val="002F030C"/>
    <w:rsid w:val="002F1DCE"/>
    <w:rsid w:val="002F4435"/>
    <w:rsid w:val="003006E2"/>
    <w:rsid w:val="003037C2"/>
    <w:rsid w:val="003120F5"/>
    <w:rsid w:val="00317077"/>
    <w:rsid w:val="00317401"/>
    <w:rsid w:val="00317FAF"/>
    <w:rsid w:val="0032112D"/>
    <w:rsid w:val="00326FC1"/>
    <w:rsid w:val="00330DBC"/>
    <w:rsid w:val="00337922"/>
    <w:rsid w:val="0034001B"/>
    <w:rsid w:val="00340867"/>
    <w:rsid w:val="00342857"/>
    <w:rsid w:val="00350CBB"/>
    <w:rsid w:val="00351CD4"/>
    <w:rsid w:val="003608CB"/>
    <w:rsid w:val="00360D60"/>
    <w:rsid w:val="003627B6"/>
    <w:rsid w:val="003675FE"/>
    <w:rsid w:val="003708D5"/>
    <w:rsid w:val="0037587D"/>
    <w:rsid w:val="0038061A"/>
    <w:rsid w:val="0038063B"/>
    <w:rsid w:val="00380837"/>
    <w:rsid w:val="00382EDD"/>
    <w:rsid w:val="003836CA"/>
    <w:rsid w:val="00386A98"/>
    <w:rsid w:val="00392D5A"/>
    <w:rsid w:val="003947A2"/>
    <w:rsid w:val="00395630"/>
    <w:rsid w:val="003A1E9C"/>
    <w:rsid w:val="003A53EE"/>
    <w:rsid w:val="003A57BB"/>
    <w:rsid w:val="003A62C3"/>
    <w:rsid w:val="003B0424"/>
    <w:rsid w:val="003B0E41"/>
    <w:rsid w:val="003B1EE5"/>
    <w:rsid w:val="003B63F4"/>
    <w:rsid w:val="003B686D"/>
    <w:rsid w:val="003B6EB8"/>
    <w:rsid w:val="003D1723"/>
    <w:rsid w:val="003D3376"/>
    <w:rsid w:val="003D470D"/>
    <w:rsid w:val="003D56CA"/>
    <w:rsid w:val="003D6BE3"/>
    <w:rsid w:val="003E0E52"/>
    <w:rsid w:val="003E2BA3"/>
    <w:rsid w:val="003E2C93"/>
    <w:rsid w:val="003F20A5"/>
    <w:rsid w:val="003F36AE"/>
    <w:rsid w:val="003F6D4B"/>
    <w:rsid w:val="00400B96"/>
    <w:rsid w:val="004016BA"/>
    <w:rsid w:val="00401C89"/>
    <w:rsid w:val="00405AA6"/>
    <w:rsid w:val="00405D57"/>
    <w:rsid w:val="00405D5F"/>
    <w:rsid w:val="00410914"/>
    <w:rsid w:val="00415AA3"/>
    <w:rsid w:val="00415C37"/>
    <w:rsid w:val="00420650"/>
    <w:rsid w:val="00420C60"/>
    <w:rsid w:val="00423C08"/>
    <w:rsid w:val="004254A5"/>
    <w:rsid w:val="0043032D"/>
    <w:rsid w:val="00430432"/>
    <w:rsid w:val="00433759"/>
    <w:rsid w:val="0043494E"/>
    <w:rsid w:val="00435641"/>
    <w:rsid w:val="00435E64"/>
    <w:rsid w:val="00440BBC"/>
    <w:rsid w:val="004414A5"/>
    <w:rsid w:val="00441B50"/>
    <w:rsid w:val="004428CE"/>
    <w:rsid w:val="00451142"/>
    <w:rsid w:val="00456697"/>
    <w:rsid w:val="00463AD4"/>
    <w:rsid w:val="00463D9F"/>
    <w:rsid w:val="00463F22"/>
    <w:rsid w:val="00465FE1"/>
    <w:rsid w:val="00472CA2"/>
    <w:rsid w:val="00475491"/>
    <w:rsid w:val="004869FB"/>
    <w:rsid w:val="00491340"/>
    <w:rsid w:val="00491735"/>
    <w:rsid w:val="00494A46"/>
    <w:rsid w:val="004A00CC"/>
    <w:rsid w:val="004A1070"/>
    <w:rsid w:val="004A3578"/>
    <w:rsid w:val="004A4AF8"/>
    <w:rsid w:val="004A4B90"/>
    <w:rsid w:val="004A57F4"/>
    <w:rsid w:val="004A7106"/>
    <w:rsid w:val="004B217F"/>
    <w:rsid w:val="004B3E7F"/>
    <w:rsid w:val="004B604C"/>
    <w:rsid w:val="004C07FE"/>
    <w:rsid w:val="004C3A73"/>
    <w:rsid w:val="004C5731"/>
    <w:rsid w:val="004C5BFE"/>
    <w:rsid w:val="004C78A9"/>
    <w:rsid w:val="004D3E4C"/>
    <w:rsid w:val="004D55E7"/>
    <w:rsid w:val="004D62EF"/>
    <w:rsid w:val="004D631F"/>
    <w:rsid w:val="004E5609"/>
    <w:rsid w:val="004E61BC"/>
    <w:rsid w:val="004F185D"/>
    <w:rsid w:val="004F3000"/>
    <w:rsid w:val="00500159"/>
    <w:rsid w:val="005028A7"/>
    <w:rsid w:val="005052B3"/>
    <w:rsid w:val="005056ED"/>
    <w:rsid w:val="00505819"/>
    <w:rsid w:val="005064D2"/>
    <w:rsid w:val="00513B4A"/>
    <w:rsid w:val="00515C94"/>
    <w:rsid w:val="00517E4C"/>
    <w:rsid w:val="00521BB1"/>
    <w:rsid w:val="00521CF0"/>
    <w:rsid w:val="00527341"/>
    <w:rsid w:val="00531857"/>
    <w:rsid w:val="0053208B"/>
    <w:rsid w:val="005345E9"/>
    <w:rsid w:val="00534814"/>
    <w:rsid w:val="00536930"/>
    <w:rsid w:val="00541AE2"/>
    <w:rsid w:val="00544CA6"/>
    <w:rsid w:val="00546D5F"/>
    <w:rsid w:val="00552BDE"/>
    <w:rsid w:val="005571F6"/>
    <w:rsid w:val="00560A2A"/>
    <w:rsid w:val="00564E53"/>
    <w:rsid w:val="00571FB2"/>
    <w:rsid w:val="00576C70"/>
    <w:rsid w:val="00577BF8"/>
    <w:rsid w:val="00583277"/>
    <w:rsid w:val="0058509F"/>
    <w:rsid w:val="00592C3E"/>
    <w:rsid w:val="00597617"/>
    <w:rsid w:val="005A000F"/>
    <w:rsid w:val="005B173D"/>
    <w:rsid w:val="005B17B6"/>
    <w:rsid w:val="005B6888"/>
    <w:rsid w:val="005D12C1"/>
    <w:rsid w:val="005D1D88"/>
    <w:rsid w:val="005D638F"/>
    <w:rsid w:val="005F4B58"/>
    <w:rsid w:val="005F6C65"/>
    <w:rsid w:val="00600F02"/>
    <w:rsid w:val="00601460"/>
    <w:rsid w:val="006014D4"/>
    <w:rsid w:val="0060444D"/>
    <w:rsid w:val="006078B1"/>
    <w:rsid w:val="0061191A"/>
    <w:rsid w:val="00623037"/>
    <w:rsid w:val="00624222"/>
    <w:rsid w:val="0064245F"/>
    <w:rsid w:val="00642776"/>
    <w:rsid w:val="00642D31"/>
    <w:rsid w:val="00644FE2"/>
    <w:rsid w:val="00645E5C"/>
    <w:rsid w:val="00645FB8"/>
    <w:rsid w:val="00651986"/>
    <w:rsid w:val="00652F53"/>
    <w:rsid w:val="006545E8"/>
    <w:rsid w:val="00660E81"/>
    <w:rsid w:val="00664736"/>
    <w:rsid w:val="00665980"/>
    <w:rsid w:val="006711B0"/>
    <w:rsid w:val="0067640C"/>
    <w:rsid w:val="006836D9"/>
    <w:rsid w:val="0068548D"/>
    <w:rsid w:val="00691265"/>
    <w:rsid w:val="006946B4"/>
    <w:rsid w:val="00695256"/>
    <w:rsid w:val="00695570"/>
    <w:rsid w:val="006958B3"/>
    <w:rsid w:val="006969F1"/>
    <w:rsid w:val="00696AF1"/>
    <w:rsid w:val="006976FD"/>
    <w:rsid w:val="006A3B31"/>
    <w:rsid w:val="006A68F3"/>
    <w:rsid w:val="006B0113"/>
    <w:rsid w:val="006B0194"/>
    <w:rsid w:val="006B2C63"/>
    <w:rsid w:val="006B39AA"/>
    <w:rsid w:val="006B4127"/>
    <w:rsid w:val="006B4F28"/>
    <w:rsid w:val="006C1B56"/>
    <w:rsid w:val="006C24BF"/>
    <w:rsid w:val="006C40B9"/>
    <w:rsid w:val="006D4DF7"/>
    <w:rsid w:val="006E0A80"/>
    <w:rsid w:val="006E1168"/>
    <w:rsid w:val="006E3438"/>
    <w:rsid w:val="006E4893"/>
    <w:rsid w:val="006E678B"/>
    <w:rsid w:val="006E762B"/>
    <w:rsid w:val="006F107D"/>
    <w:rsid w:val="006F3433"/>
    <w:rsid w:val="006F6678"/>
    <w:rsid w:val="0070367F"/>
    <w:rsid w:val="00710655"/>
    <w:rsid w:val="00710688"/>
    <w:rsid w:val="00712F3C"/>
    <w:rsid w:val="0071645E"/>
    <w:rsid w:val="007170AA"/>
    <w:rsid w:val="007175F5"/>
    <w:rsid w:val="0072638A"/>
    <w:rsid w:val="00726642"/>
    <w:rsid w:val="00732B66"/>
    <w:rsid w:val="007378E4"/>
    <w:rsid w:val="00737C8F"/>
    <w:rsid w:val="007406DE"/>
    <w:rsid w:val="00740E7F"/>
    <w:rsid w:val="00743E79"/>
    <w:rsid w:val="00744BEA"/>
    <w:rsid w:val="00751532"/>
    <w:rsid w:val="00751C37"/>
    <w:rsid w:val="007531C2"/>
    <w:rsid w:val="00754C46"/>
    <w:rsid w:val="0075769B"/>
    <w:rsid w:val="00760AE3"/>
    <w:rsid w:val="00760F74"/>
    <w:rsid w:val="007618BC"/>
    <w:rsid w:val="00765D3B"/>
    <w:rsid w:val="00772340"/>
    <w:rsid w:val="007737BA"/>
    <w:rsid w:val="007757F3"/>
    <w:rsid w:val="007815DC"/>
    <w:rsid w:val="007839F5"/>
    <w:rsid w:val="00787C80"/>
    <w:rsid w:val="0079074B"/>
    <w:rsid w:val="00790D5E"/>
    <w:rsid w:val="00790FC6"/>
    <w:rsid w:val="00795FA6"/>
    <w:rsid w:val="007A47FB"/>
    <w:rsid w:val="007A6E97"/>
    <w:rsid w:val="007B106B"/>
    <w:rsid w:val="007B275D"/>
    <w:rsid w:val="007B35C5"/>
    <w:rsid w:val="007B5EF5"/>
    <w:rsid w:val="007B668F"/>
    <w:rsid w:val="007D732D"/>
    <w:rsid w:val="007E6AEB"/>
    <w:rsid w:val="007E6B6E"/>
    <w:rsid w:val="007E7C11"/>
    <w:rsid w:val="007F01EC"/>
    <w:rsid w:val="007F42B2"/>
    <w:rsid w:val="007F5F2D"/>
    <w:rsid w:val="007F6A62"/>
    <w:rsid w:val="007F7DF2"/>
    <w:rsid w:val="008015B9"/>
    <w:rsid w:val="00803706"/>
    <w:rsid w:val="0080433F"/>
    <w:rsid w:val="008079FA"/>
    <w:rsid w:val="00810D58"/>
    <w:rsid w:val="00814A40"/>
    <w:rsid w:val="00815916"/>
    <w:rsid w:val="00815AF5"/>
    <w:rsid w:val="008160E3"/>
    <w:rsid w:val="008343CB"/>
    <w:rsid w:val="00834F70"/>
    <w:rsid w:val="00835B31"/>
    <w:rsid w:val="00850591"/>
    <w:rsid w:val="00853CCF"/>
    <w:rsid w:val="00855580"/>
    <w:rsid w:val="008575F9"/>
    <w:rsid w:val="008638DE"/>
    <w:rsid w:val="00863B20"/>
    <w:rsid w:val="008646DE"/>
    <w:rsid w:val="00864902"/>
    <w:rsid w:val="00864BE7"/>
    <w:rsid w:val="00865200"/>
    <w:rsid w:val="00871695"/>
    <w:rsid w:val="00884594"/>
    <w:rsid w:val="00885631"/>
    <w:rsid w:val="00886006"/>
    <w:rsid w:val="00890397"/>
    <w:rsid w:val="00891C25"/>
    <w:rsid w:val="00894200"/>
    <w:rsid w:val="0089475B"/>
    <w:rsid w:val="008973EE"/>
    <w:rsid w:val="008A0235"/>
    <w:rsid w:val="008A5C1F"/>
    <w:rsid w:val="008A7C7E"/>
    <w:rsid w:val="008B21BA"/>
    <w:rsid w:val="008B4EE2"/>
    <w:rsid w:val="008B7644"/>
    <w:rsid w:val="008C199E"/>
    <w:rsid w:val="008C1CA5"/>
    <w:rsid w:val="008D089D"/>
    <w:rsid w:val="008E0E14"/>
    <w:rsid w:val="008E792C"/>
    <w:rsid w:val="008F0B04"/>
    <w:rsid w:val="008F6788"/>
    <w:rsid w:val="008F7C55"/>
    <w:rsid w:val="00901BAF"/>
    <w:rsid w:val="0091272B"/>
    <w:rsid w:val="00913190"/>
    <w:rsid w:val="00915512"/>
    <w:rsid w:val="00930694"/>
    <w:rsid w:val="00932193"/>
    <w:rsid w:val="00932BE6"/>
    <w:rsid w:val="00933215"/>
    <w:rsid w:val="0093521F"/>
    <w:rsid w:val="0093786C"/>
    <w:rsid w:val="00945677"/>
    <w:rsid w:val="00952192"/>
    <w:rsid w:val="0095571F"/>
    <w:rsid w:val="00955B84"/>
    <w:rsid w:val="0095689B"/>
    <w:rsid w:val="009619EF"/>
    <w:rsid w:val="00962F78"/>
    <w:rsid w:val="00963280"/>
    <w:rsid w:val="00964CF5"/>
    <w:rsid w:val="00965A0E"/>
    <w:rsid w:val="0096609F"/>
    <w:rsid w:val="00967CB2"/>
    <w:rsid w:val="00970DA2"/>
    <w:rsid w:val="00971600"/>
    <w:rsid w:val="00972B2C"/>
    <w:rsid w:val="009769AA"/>
    <w:rsid w:val="00980802"/>
    <w:rsid w:val="00982E86"/>
    <w:rsid w:val="00984342"/>
    <w:rsid w:val="0099301F"/>
    <w:rsid w:val="0099512C"/>
    <w:rsid w:val="009969D2"/>
    <w:rsid w:val="009973B4"/>
    <w:rsid w:val="009A1279"/>
    <w:rsid w:val="009A4B5C"/>
    <w:rsid w:val="009B3649"/>
    <w:rsid w:val="009B4D68"/>
    <w:rsid w:val="009B6AB3"/>
    <w:rsid w:val="009B7EB8"/>
    <w:rsid w:val="009C131F"/>
    <w:rsid w:val="009C2CA5"/>
    <w:rsid w:val="009C38B1"/>
    <w:rsid w:val="009D1075"/>
    <w:rsid w:val="009D1A3F"/>
    <w:rsid w:val="009D2F66"/>
    <w:rsid w:val="009D57CF"/>
    <w:rsid w:val="009D685F"/>
    <w:rsid w:val="009D7E70"/>
    <w:rsid w:val="009E2238"/>
    <w:rsid w:val="009E30DA"/>
    <w:rsid w:val="009E3D68"/>
    <w:rsid w:val="009E461A"/>
    <w:rsid w:val="009E6193"/>
    <w:rsid w:val="009E7DD1"/>
    <w:rsid w:val="009F60A1"/>
    <w:rsid w:val="009F6777"/>
    <w:rsid w:val="009F7BFC"/>
    <w:rsid w:val="009F7EED"/>
    <w:rsid w:val="00A0091F"/>
    <w:rsid w:val="00A0615F"/>
    <w:rsid w:val="00A06235"/>
    <w:rsid w:val="00A0721A"/>
    <w:rsid w:val="00A138EC"/>
    <w:rsid w:val="00A13A49"/>
    <w:rsid w:val="00A15CD8"/>
    <w:rsid w:val="00A23822"/>
    <w:rsid w:val="00A3538B"/>
    <w:rsid w:val="00A3604B"/>
    <w:rsid w:val="00A363E6"/>
    <w:rsid w:val="00A378F6"/>
    <w:rsid w:val="00A41F32"/>
    <w:rsid w:val="00A42D8B"/>
    <w:rsid w:val="00A4482F"/>
    <w:rsid w:val="00A506D1"/>
    <w:rsid w:val="00A50B4B"/>
    <w:rsid w:val="00A52368"/>
    <w:rsid w:val="00A54B81"/>
    <w:rsid w:val="00A600E6"/>
    <w:rsid w:val="00A61009"/>
    <w:rsid w:val="00A61BC7"/>
    <w:rsid w:val="00A648EC"/>
    <w:rsid w:val="00A6529A"/>
    <w:rsid w:val="00A7519D"/>
    <w:rsid w:val="00A801DE"/>
    <w:rsid w:val="00A811EC"/>
    <w:rsid w:val="00A81FD7"/>
    <w:rsid w:val="00A824AF"/>
    <w:rsid w:val="00A90A22"/>
    <w:rsid w:val="00A969B9"/>
    <w:rsid w:val="00A97734"/>
    <w:rsid w:val="00AA1858"/>
    <w:rsid w:val="00AA7F40"/>
    <w:rsid w:val="00AB41FC"/>
    <w:rsid w:val="00AB7D2F"/>
    <w:rsid w:val="00AC24B1"/>
    <w:rsid w:val="00AC260E"/>
    <w:rsid w:val="00AC7290"/>
    <w:rsid w:val="00AD1293"/>
    <w:rsid w:val="00AD145D"/>
    <w:rsid w:val="00AD20E6"/>
    <w:rsid w:val="00AD3ACD"/>
    <w:rsid w:val="00AD3B9E"/>
    <w:rsid w:val="00AD6F34"/>
    <w:rsid w:val="00AD70E9"/>
    <w:rsid w:val="00AE020D"/>
    <w:rsid w:val="00AE06FB"/>
    <w:rsid w:val="00AE07A4"/>
    <w:rsid w:val="00AE1B53"/>
    <w:rsid w:val="00AE5B42"/>
    <w:rsid w:val="00AF0AAB"/>
    <w:rsid w:val="00AF156F"/>
    <w:rsid w:val="00AF3B58"/>
    <w:rsid w:val="00AF616B"/>
    <w:rsid w:val="00B034AD"/>
    <w:rsid w:val="00B04169"/>
    <w:rsid w:val="00B0685B"/>
    <w:rsid w:val="00B14206"/>
    <w:rsid w:val="00B17991"/>
    <w:rsid w:val="00B22671"/>
    <w:rsid w:val="00B22D22"/>
    <w:rsid w:val="00B23030"/>
    <w:rsid w:val="00B237B9"/>
    <w:rsid w:val="00B23CAA"/>
    <w:rsid w:val="00B2489D"/>
    <w:rsid w:val="00B410EE"/>
    <w:rsid w:val="00B63BD0"/>
    <w:rsid w:val="00B709FC"/>
    <w:rsid w:val="00B72906"/>
    <w:rsid w:val="00B73B0E"/>
    <w:rsid w:val="00B73EA8"/>
    <w:rsid w:val="00B8202D"/>
    <w:rsid w:val="00B82181"/>
    <w:rsid w:val="00B826F3"/>
    <w:rsid w:val="00B91271"/>
    <w:rsid w:val="00B91605"/>
    <w:rsid w:val="00B91895"/>
    <w:rsid w:val="00B929FD"/>
    <w:rsid w:val="00B95B99"/>
    <w:rsid w:val="00B95F69"/>
    <w:rsid w:val="00B95F75"/>
    <w:rsid w:val="00B96B2E"/>
    <w:rsid w:val="00BA4A2A"/>
    <w:rsid w:val="00BB6AD3"/>
    <w:rsid w:val="00BC0122"/>
    <w:rsid w:val="00BC16C1"/>
    <w:rsid w:val="00BC2015"/>
    <w:rsid w:val="00BC3AA4"/>
    <w:rsid w:val="00BC66FE"/>
    <w:rsid w:val="00BC71B0"/>
    <w:rsid w:val="00BD4E08"/>
    <w:rsid w:val="00BD6DBC"/>
    <w:rsid w:val="00BE17FE"/>
    <w:rsid w:val="00BE363D"/>
    <w:rsid w:val="00BE3E2D"/>
    <w:rsid w:val="00BE48B3"/>
    <w:rsid w:val="00BF4590"/>
    <w:rsid w:val="00BF597E"/>
    <w:rsid w:val="00C03098"/>
    <w:rsid w:val="00C04FD5"/>
    <w:rsid w:val="00C06ED5"/>
    <w:rsid w:val="00C10351"/>
    <w:rsid w:val="00C10EF3"/>
    <w:rsid w:val="00C12D8C"/>
    <w:rsid w:val="00C14685"/>
    <w:rsid w:val="00C158B7"/>
    <w:rsid w:val="00C269BE"/>
    <w:rsid w:val="00C31C73"/>
    <w:rsid w:val="00C46BF6"/>
    <w:rsid w:val="00C5112E"/>
    <w:rsid w:val="00C513CB"/>
    <w:rsid w:val="00C51A36"/>
    <w:rsid w:val="00C5320D"/>
    <w:rsid w:val="00C548BE"/>
    <w:rsid w:val="00C548E8"/>
    <w:rsid w:val="00C55228"/>
    <w:rsid w:val="00C62031"/>
    <w:rsid w:val="00C62CBA"/>
    <w:rsid w:val="00C66D8B"/>
    <w:rsid w:val="00C6799A"/>
    <w:rsid w:val="00C67E19"/>
    <w:rsid w:val="00C67E47"/>
    <w:rsid w:val="00C71E85"/>
    <w:rsid w:val="00C73C26"/>
    <w:rsid w:val="00C745AF"/>
    <w:rsid w:val="00C750BE"/>
    <w:rsid w:val="00C76A3E"/>
    <w:rsid w:val="00C7739B"/>
    <w:rsid w:val="00C86F9B"/>
    <w:rsid w:val="00C87FEE"/>
    <w:rsid w:val="00C90930"/>
    <w:rsid w:val="00C9113A"/>
    <w:rsid w:val="00C920A9"/>
    <w:rsid w:val="00C93340"/>
    <w:rsid w:val="00CB0154"/>
    <w:rsid w:val="00CB0D49"/>
    <w:rsid w:val="00CB127F"/>
    <w:rsid w:val="00CB260B"/>
    <w:rsid w:val="00CB2E47"/>
    <w:rsid w:val="00CB3729"/>
    <w:rsid w:val="00CB43FE"/>
    <w:rsid w:val="00CB49F0"/>
    <w:rsid w:val="00CC2A01"/>
    <w:rsid w:val="00CC6864"/>
    <w:rsid w:val="00CC7C8B"/>
    <w:rsid w:val="00CD394A"/>
    <w:rsid w:val="00CD6C83"/>
    <w:rsid w:val="00CE0AA5"/>
    <w:rsid w:val="00CE2A9E"/>
    <w:rsid w:val="00CE315A"/>
    <w:rsid w:val="00CE4B8A"/>
    <w:rsid w:val="00CE7BE1"/>
    <w:rsid w:val="00CF1062"/>
    <w:rsid w:val="00CF147A"/>
    <w:rsid w:val="00CF1726"/>
    <w:rsid w:val="00CF5473"/>
    <w:rsid w:val="00CF5717"/>
    <w:rsid w:val="00CF6C5C"/>
    <w:rsid w:val="00CF7295"/>
    <w:rsid w:val="00D0031F"/>
    <w:rsid w:val="00D004F0"/>
    <w:rsid w:val="00D06F59"/>
    <w:rsid w:val="00D1449C"/>
    <w:rsid w:val="00D17651"/>
    <w:rsid w:val="00D209B7"/>
    <w:rsid w:val="00D21AF9"/>
    <w:rsid w:val="00D30CC3"/>
    <w:rsid w:val="00D3392D"/>
    <w:rsid w:val="00D34A3D"/>
    <w:rsid w:val="00D34C3B"/>
    <w:rsid w:val="00D379ED"/>
    <w:rsid w:val="00D37D1B"/>
    <w:rsid w:val="00D41F5E"/>
    <w:rsid w:val="00D429D7"/>
    <w:rsid w:val="00D42D53"/>
    <w:rsid w:val="00D55E69"/>
    <w:rsid w:val="00D562F6"/>
    <w:rsid w:val="00D70C55"/>
    <w:rsid w:val="00D74868"/>
    <w:rsid w:val="00D74BF6"/>
    <w:rsid w:val="00D74FBF"/>
    <w:rsid w:val="00D7717E"/>
    <w:rsid w:val="00D80770"/>
    <w:rsid w:val="00D83050"/>
    <w:rsid w:val="00D8388C"/>
    <w:rsid w:val="00D90417"/>
    <w:rsid w:val="00D94B75"/>
    <w:rsid w:val="00D9648D"/>
    <w:rsid w:val="00D96880"/>
    <w:rsid w:val="00D97182"/>
    <w:rsid w:val="00DA0DF0"/>
    <w:rsid w:val="00DA2CBF"/>
    <w:rsid w:val="00DB1D00"/>
    <w:rsid w:val="00DD00DF"/>
    <w:rsid w:val="00DD10DC"/>
    <w:rsid w:val="00DD1C8E"/>
    <w:rsid w:val="00DD1D21"/>
    <w:rsid w:val="00DD7876"/>
    <w:rsid w:val="00DE146D"/>
    <w:rsid w:val="00DE2D80"/>
    <w:rsid w:val="00DE6FCE"/>
    <w:rsid w:val="00DF1C4B"/>
    <w:rsid w:val="00DF6570"/>
    <w:rsid w:val="00DF76DB"/>
    <w:rsid w:val="00E038E4"/>
    <w:rsid w:val="00E0475D"/>
    <w:rsid w:val="00E0521C"/>
    <w:rsid w:val="00E070B7"/>
    <w:rsid w:val="00E10F41"/>
    <w:rsid w:val="00E11CD7"/>
    <w:rsid w:val="00E13D9A"/>
    <w:rsid w:val="00E14BA9"/>
    <w:rsid w:val="00E20F64"/>
    <w:rsid w:val="00E221C3"/>
    <w:rsid w:val="00E31F2E"/>
    <w:rsid w:val="00E32D13"/>
    <w:rsid w:val="00E43467"/>
    <w:rsid w:val="00E43822"/>
    <w:rsid w:val="00E43A35"/>
    <w:rsid w:val="00E457E0"/>
    <w:rsid w:val="00E45C87"/>
    <w:rsid w:val="00E54035"/>
    <w:rsid w:val="00E5717A"/>
    <w:rsid w:val="00E62996"/>
    <w:rsid w:val="00E63714"/>
    <w:rsid w:val="00E64A51"/>
    <w:rsid w:val="00E6527A"/>
    <w:rsid w:val="00E676F9"/>
    <w:rsid w:val="00E67C09"/>
    <w:rsid w:val="00E806B5"/>
    <w:rsid w:val="00E910C0"/>
    <w:rsid w:val="00E954BE"/>
    <w:rsid w:val="00E95637"/>
    <w:rsid w:val="00E97424"/>
    <w:rsid w:val="00EA55F7"/>
    <w:rsid w:val="00EA5870"/>
    <w:rsid w:val="00EA7465"/>
    <w:rsid w:val="00EB0164"/>
    <w:rsid w:val="00EB5DF5"/>
    <w:rsid w:val="00EB65F7"/>
    <w:rsid w:val="00EC42F5"/>
    <w:rsid w:val="00EC526F"/>
    <w:rsid w:val="00EC54DD"/>
    <w:rsid w:val="00ED0F62"/>
    <w:rsid w:val="00ED49CB"/>
    <w:rsid w:val="00EE1F14"/>
    <w:rsid w:val="00EE5CD9"/>
    <w:rsid w:val="00EE6713"/>
    <w:rsid w:val="00EE6F50"/>
    <w:rsid w:val="00EF29B6"/>
    <w:rsid w:val="00EF3569"/>
    <w:rsid w:val="00EF36E7"/>
    <w:rsid w:val="00F03C37"/>
    <w:rsid w:val="00F068E6"/>
    <w:rsid w:val="00F06B25"/>
    <w:rsid w:val="00F06D09"/>
    <w:rsid w:val="00F079BB"/>
    <w:rsid w:val="00F11201"/>
    <w:rsid w:val="00F115BF"/>
    <w:rsid w:val="00F14D99"/>
    <w:rsid w:val="00F2038C"/>
    <w:rsid w:val="00F204EA"/>
    <w:rsid w:val="00F25AFF"/>
    <w:rsid w:val="00F31E8A"/>
    <w:rsid w:val="00F32CB9"/>
    <w:rsid w:val="00F33729"/>
    <w:rsid w:val="00F3372A"/>
    <w:rsid w:val="00F35CD7"/>
    <w:rsid w:val="00F3666E"/>
    <w:rsid w:val="00F36BE9"/>
    <w:rsid w:val="00F377A9"/>
    <w:rsid w:val="00F41617"/>
    <w:rsid w:val="00F42776"/>
    <w:rsid w:val="00F44D4E"/>
    <w:rsid w:val="00F47878"/>
    <w:rsid w:val="00F5567F"/>
    <w:rsid w:val="00F55DB9"/>
    <w:rsid w:val="00F56BAF"/>
    <w:rsid w:val="00F606E1"/>
    <w:rsid w:val="00F61B7C"/>
    <w:rsid w:val="00F6254E"/>
    <w:rsid w:val="00F66C77"/>
    <w:rsid w:val="00F6739D"/>
    <w:rsid w:val="00F83639"/>
    <w:rsid w:val="00F83EB6"/>
    <w:rsid w:val="00F840C3"/>
    <w:rsid w:val="00F856F5"/>
    <w:rsid w:val="00F8598C"/>
    <w:rsid w:val="00F956F5"/>
    <w:rsid w:val="00F97505"/>
    <w:rsid w:val="00FA0833"/>
    <w:rsid w:val="00FA2988"/>
    <w:rsid w:val="00FA350D"/>
    <w:rsid w:val="00FB03C3"/>
    <w:rsid w:val="00FB150B"/>
    <w:rsid w:val="00FB5A65"/>
    <w:rsid w:val="00FB6C45"/>
    <w:rsid w:val="00FC01AB"/>
    <w:rsid w:val="00FC2C3B"/>
    <w:rsid w:val="00FC5A11"/>
    <w:rsid w:val="00FC6957"/>
    <w:rsid w:val="00FD0A28"/>
    <w:rsid w:val="00FD2869"/>
    <w:rsid w:val="00FD3905"/>
    <w:rsid w:val="00FD5EE5"/>
    <w:rsid w:val="00FD72A6"/>
    <w:rsid w:val="00FE09C9"/>
    <w:rsid w:val="00FE3DB1"/>
    <w:rsid w:val="00FE62BD"/>
    <w:rsid w:val="07C51645"/>
    <w:rsid w:val="108219C2"/>
    <w:rsid w:val="145C70AA"/>
    <w:rsid w:val="183335D6"/>
    <w:rsid w:val="23145CA5"/>
    <w:rsid w:val="273565DA"/>
    <w:rsid w:val="2D02575D"/>
    <w:rsid w:val="32467529"/>
    <w:rsid w:val="3F93612B"/>
    <w:rsid w:val="4A607AC0"/>
    <w:rsid w:val="4FF0324F"/>
    <w:rsid w:val="5C510F8D"/>
    <w:rsid w:val="5EA12B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link w:val="2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5">
    <w:name w:val="Body Text"/>
    <w:basedOn w:val="1"/>
    <w:link w:val="21"/>
    <w:unhideWhenUsed/>
    <w:qFormat/>
    <w:uiPriority w:val="0"/>
    <w:pPr>
      <w:spacing w:line="420" w:lineRule="exact"/>
    </w:pPr>
    <w:rPr>
      <w:sz w:val="24"/>
    </w:rPr>
  </w:style>
  <w:style w:type="paragraph" w:styleId="6">
    <w:name w:val="Plain Text"/>
    <w:basedOn w:val="1"/>
    <w:link w:val="22"/>
    <w:qFormat/>
    <w:uiPriority w:val="0"/>
    <w:rPr>
      <w:rFonts w:ascii="宋体" w:hAnsi="Courier New"/>
    </w:rPr>
  </w:style>
  <w:style w:type="paragraph" w:styleId="7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itle"/>
    <w:basedOn w:val="1"/>
    <w:link w:val="23"/>
    <w:qFormat/>
    <w:uiPriority w:val="0"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paragraph" w:styleId="11">
    <w:name w:val="Body Text First Indent"/>
    <w:basedOn w:val="5"/>
    <w:qFormat/>
    <w:uiPriority w:val="0"/>
    <w:pPr>
      <w:ind w:firstLine="420" w:firstLineChars="100"/>
    </w:pPr>
    <w:rPr>
      <w:szCs w:val="20"/>
    </w:rPr>
  </w:style>
  <w:style w:type="character" w:customStyle="1" w:styleId="14">
    <w:name w:val="页眉 Char"/>
    <w:basedOn w:val="13"/>
    <w:link w:val="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Char"/>
    <w:basedOn w:val="13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8">
    <w:name w:val="fontstyle01"/>
    <w:basedOn w:val="13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9">
    <w:name w:val="fontstyle2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20">
    <w:name w:val="标题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正文文本 Char"/>
    <w:basedOn w:val="13"/>
    <w:link w:val="5"/>
    <w:qFormat/>
    <w:uiPriority w:val="99"/>
    <w:rPr>
      <w:rFonts w:ascii="Times New Roman" w:hAnsi="Times New Roman" w:eastAsia="宋体" w:cs="Times New Roman"/>
      <w:kern w:val="2"/>
      <w:sz w:val="24"/>
    </w:rPr>
  </w:style>
  <w:style w:type="character" w:customStyle="1" w:styleId="22">
    <w:name w:val="纯文本 Char"/>
    <w:basedOn w:val="13"/>
    <w:link w:val="6"/>
    <w:qFormat/>
    <w:uiPriority w:val="0"/>
    <w:rPr>
      <w:rFonts w:ascii="宋体" w:hAnsi="Courier New" w:eastAsia="宋体" w:cs="Times New Roman"/>
      <w:kern w:val="2"/>
      <w:sz w:val="21"/>
    </w:rPr>
  </w:style>
  <w:style w:type="character" w:customStyle="1" w:styleId="23">
    <w:name w:val="标题 Char"/>
    <w:basedOn w:val="13"/>
    <w:link w:val="10"/>
    <w:qFormat/>
    <w:uiPriority w:val="0"/>
    <w:rPr>
      <w:rFonts w:ascii="Book Antiqua" w:hAnsi="Book Antiqua" w:eastAsia="宋体" w:cs="Times New Roman"/>
      <w:b/>
      <w:sz w:val="31"/>
      <w:szCs w:val="31"/>
      <w:u w:val="single"/>
      <w:lang w:eastAsia="en-US"/>
    </w:rPr>
  </w:style>
  <w:style w:type="paragraph" w:styleId="2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741</Words>
  <Characters>4227</Characters>
  <Lines>35</Lines>
  <Paragraphs>9</Paragraphs>
  <TotalTime>11</TotalTime>
  <ScaleCrop>false</ScaleCrop>
  <LinksUpToDate>false</LinksUpToDate>
  <CharactersWithSpaces>4959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春华秋实</cp:lastModifiedBy>
  <dcterms:modified xsi:type="dcterms:W3CDTF">2021-12-11T14:54:06Z</dcterms:modified>
  <cp:revision>1043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8E7CF342FD5742309AB5561094EE89A7</vt:lpwstr>
  </property>
</Properties>
</file>