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>
        <w:rPr>
          <w:rFonts w:hAnsiTheme="minorEastAsia" w:eastAsiaTheme="minorEastAsia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9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915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受审核部门：综合部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主管领导：吴开锋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陪同人员：史敖元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1.12.8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  <w:r>
              <w:rPr>
                <w:rFonts w:eastAsiaTheme="minorEastAsia"/>
                <w:sz w:val="24"/>
                <w:szCs w:val="24"/>
              </w:rPr>
              <w:t>Q:5.3/6.2/9.1.3/9.2/10.2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5.3</w:t>
            </w: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法律法规收集及合规性评价，应急准备和相应控制，不符合纠正与预防，事故事件调查处理等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 6.2</w:t>
            </w:r>
          </w:p>
        </w:tc>
        <w:tc>
          <w:tcPr>
            <w:tcW w:w="10915" w:type="dxa"/>
            <w:vAlign w:val="center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查综合部目标：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                                   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考核情况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sz w:val="24"/>
                <w:szCs w:val="24"/>
              </w:rPr>
              <w:t>人员招聘及时率100%；                               100%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2.体系内审中严重不符合项为0                              0项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3.培训计划未按时完成次数≤1次                            0次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hint="eastAsia" w:eastAsiaTheme="minorEastAsia"/>
                <w:sz w:val="24"/>
                <w:szCs w:val="24"/>
              </w:rPr>
              <w:t>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AnsiTheme="minorEastAsia" w:eastAsiaTheme="minorEastAsia"/>
                <w:sz w:val="24"/>
                <w:szCs w:val="24"/>
              </w:rPr>
              <w:t>日经考核已完成。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6"/>
                <w:sz w:val="24"/>
                <w:szCs w:val="24"/>
              </w:rPr>
              <w:t>Q9.1.1</w:t>
            </w:r>
            <w:r>
              <w:rPr>
                <w:rFonts w:hAnsiTheme="minorEastAsia"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Q9.1.3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综合部负责对体系、过程的日常监测和管理目标完成情况进行统计分析。对目标完成情况进行收集和统计分析，并制作目标完成情况统计表。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生产部对产品实现各过程进行监督检查，技术部按照要求进行了产品实现各阶段的检验，进行统计分析。</w:t>
            </w:r>
          </w:p>
          <w:p>
            <w:pPr>
              <w:snapToGrid w:val="0"/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营销部对顾客满意度进行了定期评价和分析，负责对供方业绩予以评价，对供方业绩实施了监视和测量。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公司已建立了监视和测量的渠道并实施，但利用深度须加强，已交流。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240" w:firstLineChars="100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Q9.2</w:t>
            </w:r>
          </w:p>
        </w:tc>
        <w:tc>
          <w:tcPr>
            <w:tcW w:w="10915" w:type="dxa"/>
          </w:tcPr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由组长史敖元组织内部审核，查年度审核计划：提供《内部审核计划》，其内容已包括了审核目的、范围、依据。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审核组构成：组长：史敖元、组员：吴开锋。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1. 审核时间202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AnsiTheme="minorEastAsia" w:eastAsiaTheme="minorEastAsia"/>
                <w:sz w:val="24"/>
                <w:szCs w:val="24"/>
              </w:rPr>
              <w:t>年9月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AnsiTheme="minorEastAsia" w:eastAsiaTheme="minorEastAsia"/>
                <w:sz w:val="24"/>
                <w:szCs w:val="24"/>
              </w:rPr>
              <w:t>日，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2.审核按计划进行，抽查检查表综合部、营销部、生产部、技术部审核记录与计划相一致，内审员经内部培训合格，能力还需加强；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4"/>
                <w:szCs w:val="24"/>
              </w:rPr>
              <w:t>个一般不符合项（涉及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综合</w:t>
            </w:r>
            <w:r>
              <w:rPr>
                <w:rFonts w:hAnsiTheme="minorEastAsia" w:eastAsiaTheme="minorEastAsia"/>
                <w:sz w:val="24"/>
                <w:szCs w:val="24"/>
              </w:rPr>
              <w:t>部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7.1.6</w:t>
            </w:r>
            <w:r>
              <w:rPr>
                <w:rFonts w:hAnsiTheme="minorEastAsia" w:eastAsiaTheme="minorEastAsia"/>
                <w:sz w:val="24"/>
                <w:szCs w:val="24"/>
              </w:rPr>
              <w:t>条款内容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营销部8.4.1条款内容</w:t>
            </w:r>
            <w:r>
              <w:rPr>
                <w:rFonts w:hAnsiTheme="minorEastAsia" w:eastAsiaTheme="minorEastAsia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内部审核结论：提供了《内部审核报告》，对现场审核进行了综述，最后结论为：认为公司3体系运行基本良好，运行达到一定的效果，基本符合ISO9001:2015；ISO14001:2015；ISO45001:2018标准的要求，但仍存在不足，各部门应举一反三，对类似问题予以整改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 xml:space="preserve">    公司内审能按策划的审核方案实施。</w:t>
            </w:r>
          </w:p>
          <w:p>
            <w:pPr>
              <w:autoSpaceDE w:val="0"/>
              <w:autoSpaceDN w:val="0"/>
              <w:spacing w:beforeLines="30" w:afterLines="3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84070" cy="2778760"/>
                  <wp:effectExtent l="0" t="0" r="11430" b="2540"/>
                  <wp:docPr id="2" name="图片 2" descr="d2e99afdda006bf6a050fb739b9b0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2e99afdda006bf6a050fb739b9b0f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2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Q:10.2</w:t>
            </w:r>
          </w:p>
          <w:p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915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 xml:space="preserve">保持实施《纠正措施、预防措施控制程序》，对纠正预防措施识别、评审、验证，调查、处理等作了规定，其内容符合组织实际及标准要求。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对生产过程中出现的不符合项进行了原因分析，并制定、实施了纠正措施，并由技术质量部负责人对所采取的纠正措施进行了验证，纠正措施有效；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对内审中提出不合格项进行了原因分析，并制定、实施了纠正措施，并由内审员对所采取的纠正措施进行了验证，纠正措施有效，管理评审中发现的薄弱环节，分析了原因，采取了纠正措施。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安全意识有了明显提高，没有发现潜在的不符合，没有发生重大质量事故，及相关投诉情况。</w:t>
            </w:r>
          </w:p>
          <w:p>
            <w:pPr>
              <w:tabs>
                <w:tab w:val="left" w:pos="6597"/>
              </w:tabs>
              <w:spacing w:beforeLines="30" w:afterLines="30" w:line="288" w:lineRule="auto"/>
              <w:ind w:firstLine="480" w:firstLineChars="200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rPr>
          <w:rFonts w:eastAsiaTheme="minorEastAsia"/>
        </w:rPr>
      </w:pPr>
      <w:r>
        <w:rPr>
          <w:rFonts w:eastAsiaTheme="minorEastAsia"/>
        </w:rPr>
        <w:ptab w:relativeTo="margin" w:alignment="center" w:leader="none"/>
      </w:r>
    </w:p>
    <w:p>
      <w:pPr>
        <w:rPr>
          <w:rFonts w:eastAsiaTheme="minorEastAsia"/>
        </w:rPr>
      </w:pPr>
    </w:p>
    <w:p>
      <w:pPr>
        <w:pStyle w:val="7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07FD7"/>
    <w:rsid w:val="000146B2"/>
    <w:rsid w:val="00014A12"/>
    <w:rsid w:val="00017334"/>
    <w:rsid w:val="000214B6"/>
    <w:rsid w:val="00023EF2"/>
    <w:rsid w:val="00024498"/>
    <w:rsid w:val="0002531E"/>
    <w:rsid w:val="00027456"/>
    <w:rsid w:val="000277D0"/>
    <w:rsid w:val="0003138C"/>
    <w:rsid w:val="000313D2"/>
    <w:rsid w:val="00033116"/>
    <w:rsid w:val="0003373A"/>
    <w:rsid w:val="000340DB"/>
    <w:rsid w:val="00034A10"/>
    <w:rsid w:val="00035EE6"/>
    <w:rsid w:val="00035FB9"/>
    <w:rsid w:val="000412F6"/>
    <w:rsid w:val="00051411"/>
    <w:rsid w:val="0005199E"/>
    <w:rsid w:val="00051CDE"/>
    <w:rsid w:val="00052202"/>
    <w:rsid w:val="00053F56"/>
    <w:rsid w:val="0005697E"/>
    <w:rsid w:val="000579CF"/>
    <w:rsid w:val="00060270"/>
    <w:rsid w:val="00061F6E"/>
    <w:rsid w:val="0007045B"/>
    <w:rsid w:val="00082216"/>
    <w:rsid w:val="00082398"/>
    <w:rsid w:val="000849D2"/>
    <w:rsid w:val="00084DAD"/>
    <w:rsid w:val="000870FB"/>
    <w:rsid w:val="000915BD"/>
    <w:rsid w:val="00094791"/>
    <w:rsid w:val="00096F2F"/>
    <w:rsid w:val="000A067A"/>
    <w:rsid w:val="000A30F9"/>
    <w:rsid w:val="000A5E44"/>
    <w:rsid w:val="000B1394"/>
    <w:rsid w:val="000B2F9B"/>
    <w:rsid w:val="000B40BD"/>
    <w:rsid w:val="000B50A4"/>
    <w:rsid w:val="000B69C3"/>
    <w:rsid w:val="000B6EAD"/>
    <w:rsid w:val="000B72E9"/>
    <w:rsid w:val="000C123B"/>
    <w:rsid w:val="000C2D5B"/>
    <w:rsid w:val="000C674A"/>
    <w:rsid w:val="000D4F09"/>
    <w:rsid w:val="000D5401"/>
    <w:rsid w:val="000D697A"/>
    <w:rsid w:val="000D7C2E"/>
    <w:rsid w:val="000E1A34"/>
    <w:rsid w:val="000E2B69"/>
    <w:rsid w:val="000E355F"/>
    <w:rsid w:val="000E4402"/>
    <w:rsid w:val="000E7EF7"/>
    <w:rsid w:val="000F35F1"/>
    <w:rsid w:val="000F4545"/>
    <w:rsid w:val="000F7D53"/>
    <w:rsid w:val="000F7DB7"/>
    <w:rsid w:val="001022F1"/>
    <w:rsid w:val="001037D5"/>
    <w:rsid w:val="00105DC4"/>
    <w:rsid w:val="00106F20"/>
    <w:rsid w:val="00110E50"/>
    <w:rsid w:val="00113BB1"/>
    <w:rsid w:val="0011531C"/>
    <w:rsid w:val="0011531E"/>
    <w:rsid w:val="00123A35"/>
    <w:rsid w:val="00132572"/>
    <w:rsid w:val="00134D37"/>
    <w:rsid w:val="00135F92"/>
    <w:rsid w:val="00137CCB"/>
    <w:rsid w:val="00145688"/>
    <w:rsid w:val="001456CB"/>
    <w:rsid w:val="001472FA"/>
    <w:rsid w:val="00147EDB"/>
    <w:rsid w:val="00150676"/>
    <w:rsid w:val="00156FF8"/>
    <w:rsid w:val="00160263"/>
    <w:rsid w:val="00161092"/>
    <w:rsid w:val="001677C1"/>
    <w:rsid w:val="00170B6A"/>
    <w:rsid w:val="00176B5D"/>
    <w:rsid w:val="001825AD"/>
    <w:rsid w:val="00187C5A"/>
    <w:rsid w:val="001918ED"/>
    <w:rsid w:val="00192A7F"/>
    <w:rsid w:val="00194D96"/>
    <w:rsid w:val="001972C0"/>
    <w:rsid w:val="001A2D7F"/>
    <w:rsid w:val="001A3DF8"/>
    <w:rsid w:val="001A4EF8"/>
    <w:rsid w:val="001A572D"/>
    <w:rsid w:val="001A67D6"/>
    <w:rsid w:val="001A7CF1"/>
    <w:rsid w:val="001B11A4"/>
    <w:rsid w:val="001B1B11"/>
    <w:rsid w:val="001B324E"/>
    <w:rsid w:val="001B6887"/>
    <w:rsid w:val="001B6E5E"/>
    <w:rsid w:val="001B700E"/>
    <w:rsid w:val="001C0776"/>
    <w:rsid w:val="001C1D85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280F"/>
    <w:rsid w:val="001E72C1"/>
    <w:rsid w:val="001E737B"/>
    <w:rsid w:val="001F0622"/>
    <w:rsid w:val="001F71E8"/>
    <w:rsid w:val="00202BC2"/>
    <w:rsid w:val="00203163"/>
    <w:rsid w:val="002065FD"/>
    <w:rsid w:val="0021168C"/>
    <w:rsid w:val="00214113"/>
    <w:rsid w:val="00215081"/>
    <w:rsid w:val="00217B89"/>
    <w:rsid w:val="00222532"/>
    <w:rsid w:val="002253B3"/>
    <w:rsid w:val="00225E19"/>
    <w:rsid w:val="002318DF"/>
    <w:rsid w:val="00235ED5"/>
    <w:rsid w:val="00237445"/>
    <w:rsid w:val="00240CD1"/>
    <w:rsid w:val="00245047"/>
    <w:rsid w:val="0025025A"/>
    <w:rsid w:val="002555AC"/>
    <w:rsid w:val="002651A6"/>
    <w:rsid w:val="002715B5"/>
    <w:rsid w:val="00275F1D"/>
    <w:rsid w:val="002760CB"/>
    <w:rsid w:val="0027659A"/>
    <w:rsid w:val="002769EB"/>
    <w:rsid w:val="0029464B"/>
    <w:rsid w:val="002973F0"/>
    <w:rsid w:val="002975C1"/>
    <w:rsid w:val="002A0E6E"/>
    <w:rsid w:val="002A19C2"/>
    <w:rsid w:val="002A3261"/>
    <w:rsid w:val="002A33CC"/>
    <w:rsid w:val="002B1808"/>
    <w:rsid w:val="002B1F2B"/>
    <w:rsid w:val="002C1ACE"/>
    <w:rsid w:val="002C3E0D"/>
    <w:rsid w:val="002D41FB"/>
    <w:rsid w:val="002E0587"/>
    <w:rsid w:val="002E1E1D"/>
    <w:rsid w:val="002E295B"/>
    <w:rsid w:val="002F030C"/>
    <w:rsid w:val="002F0B55"/>
    <w:rsid w:val="002F1DCE"/>
    <w:rsid w:val="002F629A"/>
    <w:rsid w:val="003002BB"/>
    <w:rsid w:val="0030342C"/>
    <w:rsid w:val="003120F5"/>
    <w:rsid w:val="00317401"/>
    <w:rsid w:val="00317FAF"/>
    <w:rsid w:val="00320521"/>
    <w:rsid w:val="0032112D"/>
    <w:rsid w:val="0032590C"/>
    <w:rsid w:val="003264F9"/>
    <w:rsid w:val="00326FC1"/>
    <w:rsid w:val="003272CE"/>
    <w:rsid w:val="00327EB6"/>
    <w:rsid w:val="00330DBC"/>
    <w:rsid w:val="00333FCF"/>
    <w:rsid w:val="00337922"/>
    <w:rsid w:val="00340867"/>
    <w:rsid w:val="00341CA5"/>
    <w:rsid w:val="00342857"/>
    <w:rsid w:val="003504E8"/>
    <w:rsid w:val="00351CD4"/>
    <w:rsid w:val="0035275F"/>
    <w:rsid w:val="003608CB"/>
    <w:rsid w:val="003627B6"/>
    <w:rsid w:val="003675FE"/>
    <w:rsid w:val="00367FE8"/>
    <w:rsid w:val="003708D5"/>
    <w:rsid w:val="0037587D"/>
    <w:rsid w:val="0038061A"/>
    <w:rsid w:val="0038063B"/>
    <w:rsid w:val="00380837"/>
    <w:rsid w:val="0038137E"/>
    <w:rsid w:val="00382EDD"/>
    <w:rsid w:val="003836CA"/>
    <w:rsid w:val="00384F1B"/>
    <w:rsid w:val="00386171"/>
    <w:rsid w:val="00386A98"/>
    <w:rsid w:val="00392D5A"/>
    <w:rsid w:val="00393273"/>
    <w:rsid w:val="00396838"/>
    <w:rsid w:val="003A1E9C"/>
    <w:rsid w:val="003A2717"/>
    <w:rsid w:val="003A57BB"/>
    <w:rsid w:val="003A5B31"/>
    <w:rsid w:val="003A63AB"/>
    <w:rsid w:val="003B63F4"/>
    <w:rsid w:val="003B686D"/>
    <w:rsid w:val="003B6EB8"/>
    <w:rsid w:val="003C0768"/>
    <w:rsid w:val="003C2C92"/>
    <w:rsid w:val="003C3D5F"/>
    <w:rsid w:val="003C7699"/>
    <w:rsid w:val="003D1723"/>
    <w:rsid w:val="003D374B"/>
    <w:rsid w:val="003D470D"/>
    <w:rsid w:val="003D6BE3"/>
    <w:rsid w:val="003E0907"/>
    <w:rsid w:val="003E0E52"/>
    <w:rsid w:val="003E293A"/>
    <w:rsid w:val="003E299C"/>
    <w:rsid w:val="003E2C93"/>
    <w:rsid w:val="003E37BB"/>
    <w:rsid w:val="003F20A5"/>
    <w:rsid w:val="003F6B8B"/>
    <w:rsid w:val="00400B96"/>
    <w:rsid w:val="00405D5F"/>
    <w:rsid w:val="00410914"/>
    <w:rsid w:val="00415AA3"/>
    <w:rsid w:val="00420650"/>
    <w:rsid w:val="00420C60"/>
    <w:rsid w:val="00430432"/>
    <w:rsid w:val="004315E1"/>
    <w:rsid w:val="0043186A"/>
    <w:rsid w:val="00432E49"/>
    <w:rsid w:val="00433759"/>
    <w:rsid w:val="0043494E"/>
    <w:rsid w:val="004414A5"/>
    <w:rsid w:val="004414CB"/>
    <w:rsid w:val="00441B50"/>
    <w:rsid w:val="004428CE"/>
    <w:rsid w:val="004475F8"/>
    <w:rsid w:val="00450792"/>
    <w:rsid w:val="00456697"/>
    <w:rsid w:val="00461BDA"/>
    <w:rsid w:val="00463AD4"/>
    <w:rsid w:val="00463F22"/>
    <w:rsid w:val="00465FE1"/>
    <w:rsid w:val="00475491"/>
    <w:rsid w:val="004868A3"/>
    <w:rsid w:val="004869FB"/>
    <w:rsid w:val="00487DDC"/>
    <w:rsid w:val="0049104C"/>
    <w:rsid w:val="00491735"/>
    <w:rsid w:val="00493760"/>
    <w:rsid w:val="00494A46"/>
    <w:rsid w:val="00497374"/>
    <w:rsid w:val="00497CEF"/>
    <w:rsid w:val="004A1070"/>
    <w:rsid w:val="004A4739"/>
    <w:rsid w:val="004A5A3A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1E8B"/>
    <w:rsid w:val="004D3E4C"/>
    <w:rsid w:val="004D55E7"/>
    <w:rsid w:val="004D62EF"/>
    <w:rsid w:val="004D7A97"/>
    <w:rsid w:val="004E5609"/>
    <w:rsid w:val="004E61BC"/>
    <w:rsid w:val="004E6903"/>
    <w:rsid w:val="004F0EBB"/>
    <w:rsid w:val="004F16DE"/>
    <w:rsid w:val="004F185D"/>
    <w:rsid w:val="004F18B8"/>
    <w:rsid w:val="004F29F8"/>
    <w:rsid w:val="00501FB8"/>
    <w:rsid w:val="005052B3"/>
    <w:rsid w:val="005056ED"/>
    <w:rsid w:val="00505819"/>
    <w:rsid w:val="005064D2"/>
    <w:rsid w:val="00515C94"/>
    <w:rsid w:val="00517E4C"/>
    <w:rsid w:val="00521CF0"/>
    <w:rsid w:val="0052466B"/>
    <w:rsid w:val="00527341"/>
    <w:rsid w:val="005303DB"/>
    <w:rsid w:val="0053208B"/>
    <w:rsid w:val="0053404C"/>
    <w:rsid w:val="00534814"/>
    <w:rsid w:val="00536930"/>
    <w:rsid w:val="00540DB3"/>
    <w:rsid w:val="00541AE2"/>
    <w:rsid w:val="005457B2"/>
    <w:rsid w:val="00546D5F"/>
    <w:rsid w:val="00547607"/>
    <w:rsid w:val="00552785"/>
    <w:rsid w:val="00552BDE"/>
    <w:rsid w:val="005571F6"/>
    <w:rsid w:val="005577AD"/>
    <w:rsid w:val="00560A2A"/>
    <w:rsid w:val="00564E53"/>
    <w:rsid w:val="005652DC"/>
    <w:rsid w:val="005675B7"/>
    <w:rsid w:val="0056788D"/>
    <w:rsid w:val="005706CE"/>
    <w:rsid w:val="00576C70"/>
    <w:rsid w:val="00580B9E"/>
    <w:rsid w:val="00582230"/>
    <w:rsid w:val="00582CC8"/>
    <w:rsid w:val="00583277"/>
    <w:rsid w:val="00592C3E"/>
    <w:rsid w:val="005978E6"/>
    <w:rsid w:val="005A000F"/>
    <w:rsid w:val="005A2F80"/>
    <w:rsid w:val="005B173D"/>
    <w:rsid w:val="005B6888"/>
    <w:rsid w:val="005C1F81"/>
    <w:rsid w:val="005C374D"/>
    <w:rsid w:val="005C6948"/>
    <w:rsid w:val="005D1D88"/>
    <w:rsid w:val="005D59EB"/>
    <w:rsid w:val="005E030C"/>
    <w:rsid w:val="005F3F4E"/>
    <w:rsid w:val="005F6C65"/>
    <w:rsid w:val="00600B74"/>
    <w:rsid w:val="00600F02"/>
    <w:rsid w:val="00604098"/>
    <w:rsid w:val="0060444D"/>
    <w:rsid w:val="00611393"/>
    <w:rsid w:val="00615924"/>
    <w:rsid w:val="00620D65"/>
    <w:rsid w:val="00621ED2"/>
    <w:rsid w:val="006223EE"/>
    <w:rsid w:val="00624222"/>
    <w:rsid w:val="00627D3F"/>
    <w:rsid w:val="00642776"/>
    <w:rsid w:val="006435E3"/>
    <w:rsid w:val="00644FE2"/>
    <w:rsid w:val="00645FB8"/>
    <w:rsid w:val="006510E6"/>
    <w:rsid w:val="00651986"/>
    <w:rsid w:val="006545E8"/>
    <w:rsid w:val="00656823"/>
    <w:rsid w:val="006629CC"/>
    <w:rsid w:val="00664736"/>
    <w:rsid w:val="00665050"/>
    <w:rsid w:val="00665980"/>
    <w:rsid w:val="00666670"/>
    <w:rsid w:val="006676DD"/>
    <w:rsid w:val="0067640C"/>
    <w:rsid w:val="00681DFF"/>
    <w:rsid w:val="006836D9"/>
    <w:rsid w:val="0068548D"/>
    <w:rsid w:val="00692812"/>
    <w:rsid w:val="006946B4"/>
    <w:rsid w:val="00695256"/>
    <w:rsid w:val="00695570"/>
    <w:rsid w:val="006969F1"/>
    <w:rsid w:val="00696AF1"/>
    <w:rsid w:val="006A0116"/>
    <w:rsid w:val="006A3B31"/>
    <w:rsid w:val="006A46BB"/>
    <w:rsid w:val="006A68F3"/>
    <w:rsid w:val="006A7352"/>
    <w:rsid w:val="006B182C"/>
    <w:rsid w:val="006B4127"/>
    <w:rsid w:val="006C24BF"/>
    <w:rsid w:val="006C36AB"/>
    <w:rsid w:val="006C40B9"/>
    <w:rsid w:val="006C4CFB"/>
    <w:rsid w:val="006C6C8C"/>
    <w:rsid w:val="006D089E"/>
    <w:rsid w:val="006D265F"/>
    <w:rsid w:val="006D3C59"/>
    <w:rsid w:val="006D4DF7"/>
    <w:rsid w:val="006D5BDA"/>
    <w:rsid w:val="006D689A"/>
    <w:rsid w:val="006E678B"/>
    <w:rsid w:val="006F34B9"/>
    <w:rsid w:val="006F677C"/>
    <w:rsid w:val="0070367F"/>
    <w:rsid w:val="00710655"/>
    <w:rsid w:val="00712F3C"/>
    <w:rsid w:val="007170AA"/>
    <w:rsid w:val="007175F5"/>
    <w:rsid w:val="00725760"/>
    <w:rsid w:val="0072638A"/>
    <w:rsid w:val="00726642"/>
    <w:rsid w:val="00732B66"/>
    <w:rsid w:val="007378E4"/>
    <w:rsid w:val="00737C8F"/>
    <w:rsid w:val="007406DE"/>
    <w:rsid w:val="00743E79"/>
    <w:rsid w:val="00744BEA"/>
    <w:rsid w:val="007500A8"/>
    <w:rsid w:val="00751532"/>
    <w:rsid w:val="00751BE2"/>
    <w:rsid w:val="00751C37"/>
    <w:rsid w:val="00754C46"/>
    <w:rsid w:val="0075769B"/>
    <w:rsid w:val="007618BC"/>
    <w:rsid w:val="00767009"/>
    <w:rsid w:val="00772340"/>
    <w:rsid w:val="007757F3"/>
    <w:rsid w:val="007815DC"/>
    <w:rsid w:val="007839F5"/>
    <w:rsid w:val="00783C4A"/>
    <w:rsid w:val="00787C80"/>
    <w:rsid w:val="00790B84"/>
    <w:rsid w:val="00790D5E"/>
    <w:rsid w:val="00790FC6"/>
    <w:rsid w:val="00794D01"/>
    <w:rsid w:val="00795FA6"/>
    <w:rsid w:val="007A2C5A"/>
    <w:rsid w:val="007A47FB"/>
    <w:rsid w:val="007A6299"/>
    <w:rsid w:val="007B106B"/>
    <w:rsid w:val="007B275D"/>
    <w:rsid w:val="007C0D7E"/>
    <w:rsid w:val="007C24A1"/>
    <w:rsid w:val="007C61D1"/>
    <w:rsid w:val="007D1740"/>
    <w:rsid w:val="007D3BA5"/>
    <w:rsid w:val="007E03E9"/>
    <w:rsid w:val="007E6AEB"/>
    <w:rsid w:val="007E7C11"/>
    <w:rsid w:val="007F01EC"/>
    <w:rsid w:val="007F0B69"/>
    <w:rsid w:val="007F0EA0"/>
    <w:rsid w:val="007F1DD4"/>
    <w:rsid w:val="007F36E9"/>
    <w:rsid w:val="007F3AD5"/>
    <w:rsid w:val="007F6A62"/>
    <w:rsid w:val="007F7DF2"/>
    <w:rsid w:val="00803706"/>
    <w:rsid w:val="0080433F"/>
    <w:rsid w:val="0080474F"/>
    <w:rsid w:val="008079FA"/>
    <w:rsid w:val="008102B2"/>
    <w:rsid w:val="00810D58"/>
    <w:rsid w:val="00812C6B"/>
    <w:rsid w:val="00815AF5"/>
    <w:rsid w:val="008160E3"/>
    <w:rsid w:val="0082077B"/>
    <w:rsid w:val="00822940"/>
    <w:rsid w:val="00827CD6"/>
    <w:rsid w:val="008343CB"/>
    <w:rsid w:val="00834F70"/>
    <w:rsid w:val="00835B31"/>
    <w:rsid w:val="00836879"/>
    <w:rsid w:val="00836E77"/>
    <w:rsid w:val="00842ACE"/>
    <w:rsid w:val="008456F1"/>
    <w:rsid w:val="00850591"/>
    <w:rsid w:val="00862B9A"/>
    <w:rsid w:val="008638DE"/>
    <w:rsid w:val="00863B20"/>
    <w:rsid w:val="008642BE"/>
    <w:rsid w:val="008646DE"/>
    <w:rsid w:val="00864902"/>
    <w:rsid w:val="00864BE7"/>
    <w:rsid w:val="00865200"/>
    <w:rsid w:val="00871695"/>
    <w:rsid w:val="00881C64"/>
    <w:rsid w:val="00885631"/>
    <w:rsid w:val="00886006"/>
    <w:rsid w:val="00891C25"/>
    <w:rsid w:val="008924E5"/>
    <w:rsid w:val="00894200"/>
    <w:rsid w:val="008973EE"/>
    <w:rsid w:val="008A4AC0"/>
    <w:rsid w:val="008A7C7E"/>
    <w:rsid w:val="008B21BA"/>
    <w:rsid w:val="008B4EE2"/>
    <w:rsid w:val="008B7990"/>
    <w:rsid w:val="008C1646"/>
    <w:rsid w:val="008C199E"/>
    <w:rsid w:val="008C1CA5"/>
    <w:rsid w:val="008C53BD"/>
    <w:rsid w:val="008D089D"/>
    <w:rsid w:val="008E792C"/>
    <w:rsid w:val="008F0B04"/>
    <w:rsid w:val="008F3B95"/>
    <w:rsid w:val="008F6DB9"/>
    <w:rsid w:val="008F7C55"/>
    <w:rsid w:val="00901BAF"/>
    <w:rsid w:val="00910CD1"/>
    <w:rsid w:val="0091272B"/>
    <w:rsid w:val="0091549E"/>
    <w:rsid w:val="0091629A"/>
    <w:rsid w:val="00930694"/>
    <w:rsid w:val="00932193"/>
    <w:rsid w:val="0093521F"/>
    <w:rsid w:val="0093786C"/>
    <w:rsid w:val="00945677"/>
    <w:rsid w:val="0095571F"/>
    <w:rsid w:val="00955B84"/>
    <w:rsid w:val="0095689B"/>
    <w:rsid w:val="00956955"/>
    <w:rsid w:val="00962F78"/>
    <w:rsid w:val="00965A0E"/>
    <w:rsid w:val="0096609F"/>
    <w:rsid w:val="009661CA"/>
    <w:rsid w:val="00971600"/>
    <w:rsid w:val="009808EA"/>
    <w:rsid w:val="00984342"/>
    <w:rsid w:val="00986837"/>
    <w:rsid w:val="00996B0D"/>
    <w:rsid w:val="009973B4"/>
    <w:rsid w:val="009A0736"/>
    <w:rsid w:val="009A1279"/>
    <w:rsid w:val="009A4B5C"/>
    <w:rsid w:val="009B16F4"/>
    <w:rsid w:val="009B4D68"/>
    <w:rsid w:val="009B6785"/>
    <w:rsid w:val="009B6AB3"/>
    <w:rsid w:val="009B7EB8"/>
    <w:rsid w:val="009C131F"/>
    <w:rsid w:val="009C30A9"/>
    <w:rsid w:val="009D032F"/>
    <w:rsid w:val="009D1075"/>
    <w:rsid w:val="009D1A3F"/>
    <w:rsid w:val="009D2F66"/>
    <w:rsid w:val="009D57CF"/>
    <w:rsid w:val="009E085C"/>
    <w:rsid w:val="009E20FF"/>
    <w:rsid w:val="009E2238"/>
    <w:rsid w:val="009E30DA"/>
    <w:rsid w:val="009E3971"/>
    <w:rsid w:val="009E3D68"/>
    <w:rsid w:val="009E3FDC"/>
    <w:rsid w:val="009E6193"/>
    <w:rsid w:val="009E7DD1"/>
    <w:rsid w:val="009F0867"/>
    <w:rsid w:val="009F6386"/>
    <w:rsid w:val="009F6F52"/>
    <w:rsid w:val="009F7A35"/>
    <w:rsid w:val="009F7BFC"/>
    <w:rsid w:val="009F7EED"/>
    <w:rsid w:val="00A0721A"/>
    <w:rsid w:val="00A138EC"/>
    <w:rsid w:val="00A257C3"/>
    <w:rsid w:val="00A27B9C"/>
    <w:rsid w:val="00A378F6"/>
    <w:rsid w:val="00A4077A"/>
    <w:rsid w:val="00A41F32"/>
    <w:rsid w:val="00A42D06"/>
    <w:rsid w:val="00A42DAD"/>
    <w:rsid w:val="00A50B4B"/>
    <w:rsid w:val="00A72A84"/>
    <w:rsid w:val="00A7333E"/>
    <w:rsid w:val="00A743CD"/>
    <w:rsid w:val="00A7506C"/>
    <w:rsid w:val="00A801DE"/>
    <w:rsid w:val="00A80C1F"/>
    <w:rsid w:val="00A81FD7"/>
    <w:rsid w:val="00A86BDD"/>
    <w:rsid w:val="00A8707C"/>
    <w:rsid w:val="00A877C7"/>
    <w:rsid w:val="00A90A22"/>
    <w:rsid w:val="00A969B9"/>
    <w:rsid w:val="00A97734"/>
    <w:rsid w:val="00AA1858"/>
    <w:rsid w:val="00AA3715"/>
    <w:rsid w:val="00AA5451"/>
    <w:rsid w:val="00AA7F40"/>
    <w:rsid w:val="00AB1CF7"/>
    <w:rsid w:val="00AB41FC"/>
    <w:rsid w:val="00AB7D2F"/>
    <w:rsid w:val="00AC1D8B"/>
    <w:rsid w:val="00AC24B1"/>
    <w:rsid w:val="00AC260E"/>
    <w:rsid w:val="00AC2D80"/>
    <w:rsid w:val="00AC36F9"/>
    <w:rsid w:val="00AD145D"/>
    <w:rsid w:val="00AD20E6"/>
    <w:rsid w:val="00AD6F34"/>
    <w:rsid w:val="00AE020D"/>
    <w:rsid w:val="00AE084B"/>
    <w:rsid w:val="00AE2B1E"/>
    <w:rsid w:val="00AF0AAB"/>
    <w:rsid w:val="00AF156F"/>
    <w:rsid w:val="00AF616B"/>
    <w:rsid w:val="00B00603"/>
    <w:rsid w:val="00B034AD"/>
    <w:rsid w:val="00B0685B"/>
    <w:rsid w:val="00B0721E"/>
    <w:rsid w:val="00B148E8"/>
    <w:rsid w:val="00B20BA1"/>
    <w:rsid w:val="00B22D22"/>
    <w:rsid w:val="00B23030"/>
    <w:rsid w:val="00B237B9"/>
    <w:rsid w:val="00B23CAA"/>
    <w:rsid w:val="00B2489D"/>
    <w:rsid w:val="00B33C9E"/>
    <w:rsid w:val="00B410EE"/>
    <w:rsid w:val="00B427EC"/>
    <w:rsid w:val="00B525D7"/>
    <w:rsid w:val="00B530B9"/>
    <w:rsid w:val="00B546C0"/>
    <w:rsid w:val="00B565BF"/>
    <w:rsid w:val="00B65C4F"/>
    <w:rsid w:val="00B67499"/>
    <w:rsid w:val="00B73843"/>
    <w:rsid w:val="00B73B0E"/>
    <w:rsid w:val="00B73EA8"/>
    <w:rsid w:val="00B75B52"/>
    <w:rsid w:val="00B8202D"/>
    <w:rsid w:val="00B91271"/>
    <w:rsid w:val="00B91605"/>
    <w:rsid w:val="00B91762"/>
    <w:rsid w:val="00B929FD"/>
    <w:rsid w:val="00B95B99"/>
    <w:rsid w:val="00B95F69"/>
    <w:rsid w:val="00BA2DE8"/>
    <w:rsid w:val="00BA5B19"/>
    <w:rsid w:val="00BC0122"/>
    <w:rsid w:val="00BC2015"/>
    <w:rsid w:val="00BC71B0"/>
    <w:rsid w:val="00BD3E2B"/>
    <w:rsid w:val="00BD4E08"/>
    <w:rsid w:val="00BD4F0D"/>
    <w:rsid w:val="00BD6DBC"/>
    <w:rsid w:val="00BE42C7"/>
    <w:rsid w:val="00BE512D"/>
    <w:rsid w:val="00BF597E"/>
    <w:rsid w:val="00C00851"/>
    <w:rsid w:val="00C03098"/>
    <w:rsid w:val="00C07754"/>
    <w:rsid w:val="00C10EF3"/>
    <w:rsid w:val="00C14685"/>
    <w:rsid w:val="00C1488E"/>
    <w:rsid w:val="00C17D0E"/>
    <w:rsid w:val="00C244EE"/>
    <w:rsid w:val="00C31C73"/>
    <w:rsid w:val="00C31C8D"/>
    <w:rsid w:val="00C3372F"/>
    <w:rsid w:val="00C3704A"/>
    <w:rsid w:val="00C431C9"/>
    <w:rsid w:val="00C513CB"/>
    <w:rsid w:val="00C51A36"/>
    <w:rsid w:val="00C548BE"/>
    <w:rsid w:val="00C55228"/>
    <w:rsid w:val="00C619C1"/>
    <w:rsid w:val="00C62031"/>
    <w:rsid w:val="00C6703C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2A01"/>
    <w:rsid w:val="00CC2B72"/>
    <w:rsid w:val="00CC3BF9"/>
    <w:rsid w:val="00CD394A"/>
    <w:rsid w:val="00CD68C2"/>
    <w:rsid w:val="00CD6C83"/>
    <w:rsid w:val="00CE0AA5"/>
    <w:rsid w:val="00CE2A9E"/>
    <w:rsid w:val="00CE315A"/>
    <w:rsid w:val="00CE4B8A"/>
    <w:rsid w:val="00CE6D4B"/>
    <w:rsid w:val="00CE7BE1"/>
    <w:rsid w:val="00CF147A"/>
    <w:rsid w:val="00CF1726"/>
    <w:rsid w:val="00CF5473"/>
    <w:rsid w:val="00CF5A0D"/>
    <w:rsid w:val="00CF6C5C"/>
    <w:rsid w:val="00D004F0"/>
    <w:rsid w:val="00D008F9"/>
    <w:rsid w:val="00D05E7D"/>
    <w:rsid w:val="00D06F59"/>
    <w:rsid w:val="00D071AB"/>
    <w:rsid w:val="00D159F4"/>
    <w:rsid w:val="00D20E57"/>
    <w:rsid w:val="00D30BB7"/>
    <w:rsid w:val="00D32DF9"/>
    <w:rsid w:val="00D3392D"/>
    <w:rsid w:val="00D359EC"/>
    <w:rsid w:val="00D372C0"/>
    <w:rsid w:val="00D379ED"/>
    <w:rsid w:val="00D37D1B"/>
    <w:rsid w:val="00D41F5E"/>
    <w:rsid w:val="00D429D7"/>
    <w:rsid w:val="00D42D53"/>
    <w:rsid w:val="00D4416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85A22"/>
    <w:rsid w:val="00D90201"/>
    <w:rsid w:val="00D97182"/>
    <w:rsid w:val="00DA0DF0"/>
    <w:rsid w:val="00DB4C33"/>
    <w:rsid w:val="00DB756E"/>
    <w:rsid w:val="00DC330A"/>
    <w:rsid w:val="00DC381E"/>
    <w:rsid w:val="00DD10DC"/>
    <w:rsid w:val="00DD1C8E"/>
    <w:rsid w:val="00DD1D21"/>
    <w:rsid w:val="00DD2DD2"/>
    <w:rsid w:val="00DD48B3"/>
    <w:rsid w:val="00DD5323"/>
    <w:rsid w:val="00DD603F"/>
    <w:rsid w:val="00DE146D"/>
    <w:rsid w:val="00DE2D80"/>
    <w:rsid w:val="00DE33EC"/>
    <w:rsid w:val="00DE6FCE"/>
    <w:rsid w:val="00DF6570"/>
    <w:rsid w:val="00DF76DB"/>
    <w:rsid w:val="00DF7D02"/>
    <w:rsid w:val="00E01EE2"/>
    <w:rsid w:val="00E038E4"/>
    <w:rsid w:val="00E04CB2"/>
    <w:rsid w:val="00E0521C"/>
    <w:rsid w:val="00E11CD7"/>
    <w:rsid w:val="00E13D9A"/>
    <w:rsid w:val="00E14BA9"/>
    <w:rsid w:val="00E210D4"/>
    <w:rsid w:val="00E221C3"/>
    <w:rsid w:val="00E23598"/>
    <w:rsid w:val="00E27B7F"/>
    <w:rsid w:val="00E321FE"/>
    <w:rsid w:val="00E32D13"/>
    <w:rsid w:val="00E34F47"/>
    <w:rsid w:val="00E356A1"/>
    <w:rsid w:val="00E37AB5"/>
    <w:rsid w:val="00E40CE5"/>
    <w:rsid w:val="00E43822"/>
    <w:rsid w:val="00E53C8D"/>
    <w:rsid w:val="00E54035"/>
    <w:rsid w:val="00E5717A"/>
    <w:rsid w:val="00E62996"/>
    <w:rsid w:val="00E63714"/>
    <w:rsid w:val="00E64A51"/>
    <w:rsid w:val="00E676F9"/>
    <w:rsid w:val="00E7279B"/>
    <w:rsid w:val="00E84C02"/>
    <w:rsid w:val="00E910C0"/>
    <w:rsid w:val="00E91233"/>
    <w:rsid w:val="00E95637"/>
    <w:rsid w:val="00E95707"/>
    <w:rsid w:val="00E965B7"/>
    <w:rsid w:val="00E97424"/>
    <w:rsid w:val="00E9765D"/>
    <w:rsid w:val="00EA55F7"/>
    <w:rsid w:val="00EA6E98"/>
    <w:rsid w:val="00EB0164"/>
    <w:rsid w:val="00EB5DF5"/>
    <w:rsid w:val="00EB65F7"/>
    <w:rsid w:val="00EB7607"/>
    <w:rsid w:val="00EC064A"/>
    <w:rsid w:val="00EC42F5"/>
    <w:rsid w:val="00EC6620"/>
    <w:rsid w:val="00EC72E9"/>
    <w:rsid w:val="00EC72F7"/>
    <w:rsid w:val="00ED0F62"/>
    <w:rsid w:val="00ED74A7"/>
    <w:rsid w:val="00ED7F2E"/>
    <w:rsid w:val="00EE250B"/>
    <w:rsid w:val="00EE5CD9"/>
    <w:rsid w:val="00EE6713"/>
    <w:rsid w:val="00EE71F4"/>
    <w:rsid w:val="00EF29B6"/>
    <w:rsid w:val="00EF36E7"/>
    <w:rsid w:val="00EF44D9"/>
    <w:rsid w:val="00EF46AA"/>
    <w:rsid w:val="00F029C7"/>
    <w:rsid w:val="00F047CF"/>
    <w:rsid w:val="00F0607F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508"/>
    <w:rsid w:val="00F47878"/>
    <w:rsid w:val="00F47B5F"/>
    <w:rsid w:val="00F506AB"/>
    <w:rsid w:val="00F55DB9"/>
    <w:rsid w:val="00F606E1"/>
    <w:rsid w:val="00F60CA3"/>
    <w:rsid w:val="00F63723"/>
    <w:rsid w:val="00F65091"/>
    <w:rsid w:val="00F6739D"/>
    <w:rsid w:val="00F67919"/>
    <w:rsid w:val="00F67B5B"/>
    <w:rsid w:val="00F70107"/>
    <w:rsid w:val="00F71652"/>
    <w:rsid w:val="00F71E67"/>
    <w:rsid w:val="00F82BC1"/>
    <w:rsid w:val="00F83639"/>
    <w:rsid w:val="00F840C3"/>
    <w:rsid w:val="00F856F5"/>
    <w:rsid w:val="00F8598C"/>
    <w:rsid w:val="00F86BF4"/>
    <w:rsid w:val="00F94C98"/>
    <w:rsid w:val="00F956F5"/>
    <w:rsid w:val="00F97087"/>
    <w:rsid w:val="00FA0833"/>
    <w:rsid w:val="00FA0A9C"/>
    <w:rsid w:val="00FA2467"/>
    <w:rsid w:val="00FA2988"/>
    <w:rsid w:val="00FA350D"/>
    <w:rsid w:val="00FA3665"/>
    <w:rsid w:val="00FB03C3"/>
    <w:rsid w:val="00FB1235"/>
    <w:rsid w:val="00FB37F1"/>
    <w:rsid w:val="00FB565F"/>
    <w:rsid w:val="00FB5A65"/>
    <w:rsid w:val="00FB6C45"/>
    <w:rsid w:val="00FC01AB"/>
    <w:rsid w:val="00FC5A85"/>
    <w:rsid w:val="00FD2869"/>
    <w:rsid w:val="00FD5EE5"/>
    <w:rsid w:val="00FD72A6"/>
    <w:rsid w:val="00FE09C9"/>
    <w:rsid w:val="00FE1658"/>
    <w:rsid w:val="00FE1887"/>
    <w:rsid w:val="00FE3DB1"/>
    <w:rsid w:val="00FE415C"/>
    <w:rsid w:val="108219C2"/>
    <w:rsid w:val="126D0BD9"/>
    <w:rsid w:val="5701052C"/>
    <w:rsid w:val="5C734097"/>
    <w:rsid w:val="5EA12B9A"/>
    <w:rsid w:val="68A62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3"/>
    <w:qFormat/>
    <w:uiPriority w:val="0"/>
    <w:rPr>
      <w:rFonts w:ascii="宋体" w:hAnsi="Courier New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4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4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794</Words>
  <Characters>4526</Characters>
  <Lines>37</Lines>
  <Paragraphs>10</Paragraphs>
  <TotalTime>0</TotalTime>
  <ScaleCrop>false</ScaleCrop>
  <LinksUpToDate>false</LinksUpToDate>
  <CharactersWithSpaces>5310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2021-12-09T03:21:04Z</dcterms:modified>
  <cp:revision>1074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B9FE50BA453749748229B462D73554D1</vt:lpwstr>
  </property>
</Properties>
</file>