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eastAsia="zh-CN"/>
              </w:rPr>
              <w:t>：曾平佳</w:t>
            </w:r>
            <w:r>
              <w:rPr>
                <w:rFonts w:hint="eastAsia"/>
                <w:sz w:val="24"/>
                <w:szCs w:val="24"/>
                <w:lang w:val="en-US" w:eastAsia="zh-CN"/>
              </w:rPr>
              <w:t xml:space="preserve">  </w:t>
            </w:r>
            <w:r>
              <w:rPr>
                <w:rFonts w:hint="eastAsia"/>
                <w:sz w:val="24"/>
                <w:szCs w:val="24"/>
              </w:rPr>
              <w:t>陪同人员：</w:t>
            </w:r>
            <w:r>
              <w:rPr>
                <w:rFonts w:hint="eastAsia"/>
                <w:sz w:val="24"/>
                <w:u w:val="none"/>
                <w:lang w:val="en-US" w:eastAsia="zh-CN"/>
              </w:rPr>
              <w:t>史傲元</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审核员：伍光华</w:t>
            </w:r>
            <w:r>
              <w:rPr>
                <w:sz w:val="24"/>
                <w:szCs w:val="24"/>
              </w:rPr>
              <w:t xml:space="preserve">      </w:t>
            </w:r>
            <w:r>
              <w:rPr>
                <w:rFonts w:hint="eastAsia"/>
                <w:sz w:val="24"/>
                <w:szCs w:val="24"/>
              </w:rPr>
              <w:t>审核时间：</w:t>
            </w:r>
            <w:r>
              <w:rPr>
                <w:rFonts w:hint="eastAsia"/>
                <w:sz w:val="24"/>
                <w:szCs w:val="24"/>
                <w:lang w:val="en-US" w:eastAsia="zh-CN"/>
              </w:rPr>
              <w:t>2021.12.8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t>Q:</w:t>
            </w:r>
            <w:r>
              <w:rPr>
                <w:rFonts w:ascii="宋体" w:hAnsi="宋体" w:cs="宋体"/>
                <w:szCs w:val="21"/>
              </w:rPr>
              <w:t xml:space="preserve"> 4.1/4.2/4.3/4.4/5.1/5.2/5.3/6.1/6.2/6.3/9.1.1/9.3/10.1/10.3</w:t>
            </w:r>
            <w:r>
              <w:rPr>
                <w:rFonts w:hint="eastAsia" w:ascii="宋体" w:hAnsi="宋体" w:cs="Arial"/>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资质</w:t>
            </w:r>
          </w:p>
        </w:tc>
        <w:tc>
          <w:tcPr>
            <w:tcW w:w="960" w:type="dxa"/>
          </w:tcPr>
          <w:p/>
        </w:tc>
        <w:tc>
          <w:tcPr>
            <w:tcW w:w="10004" w:type="dxa"/>
          </w:tcPr>
          <w:p>
            <w:pPr>
              <w:ind w:firstLine="420" w:firstLineChars="200"/>
            </w:pPr>
            <w:r>
              <w:rPr>
                <w:rFonts w:hint="eastAsia"/>
              </w:rPr>
              <w:t>营业执照：</w:t>
            </w:r>
          </w:p>
          <w:p>
            <w:pPr>
              <w:rPr>
                <w:rFonts w:hint="eastAsia"/>
                <w:b/>
                <w:color w:val="000000" w:themeColor="text1"/>
                <w:sz w:val="22"/>
                <w:szCs w:val="22"/>
              </w:rPr>
            </w:pPr>
            <w:r>
              <w:rPr>
                <w:rFonts w:hint="eastAsia"/>
              </w:rPr>
              <w:t>统一社会信用代码：</w:t>
            </w:r>
            <w:bookmarkStart w:id="0" w:name="机构代码"/>
            <w:r>
              <w:rPr>
                <w:rFonts w:hint="eastAsia"/>
                <w:b/>
                <w:color w:val="000000" w:themeColor="text1"/>
                <w:sz w:val="22"/>
                <w:szCs w:val="22"/>
              </w:rPr>
              <w:t>91360429399036493E</w:t>
            </w:r>
            <w:bookmarkEnd w:id="0"/>
          </w:p>
          <w:p>
            <w:r>
              <w:rPr>
                <w:rFonts w:hint="eastAsia"/>
              </w:rPr>
              <w:t>成立日期：</w:t>
            </w:r>
            <w:r>
              <w:rPr>
                <w:rFonts w:hint="eastAsia"/>
                <w:lang w:val="en-US" w:eastAsia="zh-CN"/>
              </w:rPr>
              <w:t>2014</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r>
              <w:t xml:space="preserve">  </w:t>
            </w:r>
            <w:r>
              <w:rPr>
                <w:rFonts w:hint="eastAsia"/>
                <w:lang w:val="en-US" w:eastAsia="zh-CN"/>
              </w:rPr>
              <w:t>营业期限：至2034年5月19日</w:t>
            </w:r>
            <w:r>
              <w:t xml:space="preserve">  </w:t>
            </w:r>
          </w:p>
          <w:p>
            <w:r>
              <w:rPr>
                <w:rFonts w:hint="eastAsia"/>
              </w:rPr>
              <w:t>认证范围在经营范围内，符合要求。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组织及其环境</w:t>
            </w:r>
          </w:p>
        </w:tc>
        <w:tc>
          <w:tcPr>
            <w:tcW w:w="960" w:type="dxa"/>
          </w:tcPr>
          <w:p>
            <w:r>
              <w:t>4.1</w:t>
            </w:r>
          </w:p>
        </w:tc>
        <w:tc>
          <w:tcPr>
            <w:tcW w:w="10004" w:type="dxa"/>
          </w:tcPr>
          <w:p>
            <w:pPr>
              <w:ind w:firstLine="420" w:firstLineChars="200"/>
            </w:pPr>
            <w:r>
              <w:rPr>
                <w:rFonts w:hint="eastAsia"/>
              </w:rPr>
              <w:t>总经理：</w:t>
            </w:r>
            <w:r>
              <w:rPr>
                <w:rFonts w:hint="eastAsia"/>
                <w:sz w:val="21"/>
                <w:szCs w:val="21"/>
                <w:lang w:eastAsia="zh-CN"/>
              </w:rPr>
              <w:t>曾平佳</w:t>
            </w:r>
            <w:r>
              <w:rPr>
                <w:sz w:val="21"/>
                <w:szCs w:val="21"/>
              </w:rPr>
              <w:t xml:space="preserve"> </w:t>
            </w:r>
            <w:r>
              <w:t xml:space="preserve">    </w:t>
            </w:r>
            <w:r>
              <w:rPr>
                <w:rFonts w:hint="eastAsia"/>
              </w:rPr>
              <w:t>人员状况：</w:t>
            </w:r>
            <w:r>
              <w:rPr>
                <w:rFonts w:hint="eastAsia"/>
                <w:lang w:val="en-US" w:eastAsia="zh-CN"/>
              </w:rPr>
              <w:t>149</w:t>
            </w:r>
            <w:r>
              <w:rPr>
                <w:rFonts w:hint="eastAsia"/>
              </w:rPr>
              <w:t>人</w:t>
            </w:r>
          </w:p>
          <w:p>
            <w:pPr>
              <w:ind w:firstLine="420" w:firstLineChars="200"/>
            </w:pPr>
            <w:r>
              <w:rPr>
                <w:rFonts w:hint="eastAsia"/>
              </w:rPr>
              <w:t>组织情况：</w:t>
            </w:r>
          </w:p>
          <w:p>
            <w:pPr>
              <w:ind w:firstLine="420" w:firstLineChars="200"/>
              <w:rPr>
                <w:rFonts w:hint="eastAsia"/>
              </w:rPr>
            </w:pPr>
            <w:r>
              <w:rPr>
                <w:rFonts w:hint="eastAsia"/>
              </w:rPr>
              <w:t>企业主要经营</w:t>
            </w:r>
            <w:bookmarkStart w:id="1" w:name="审核范围"/>
            <w:r>
              <w:rPr>
                <w:sz w:val="20"/>
              </w:rPr>
              <w:t>染料中间体、染料产品的生产（限许可范围内）</w:t>
            </w:r>
            <w:bookmarkEnd w:id="1"/>
            <w:r>
              <w:rPr>
                <w:rFonts w:hint="eastAsia"/>
                <w:sz w:val="21"/>
                <w:szCs w:val="21"/>
              </w:rPr>
              <w:t>。</w:t>
            </w:r>
          </w:p>
          <w:p>
            <w:pPr>
              <w:ind w:firstLine="420" w:firstLineChars="200"/>
            </w:pPr>
            <w:r>
              <w:rPr>
                <w:rFonts w:hint="eastAsia"/>
              </w:rPr>
              <w:t>企业主要客户为</w:t>
            </w:r>
            <w:r>
              <w:rPr>
                <w:rFonts w:hint="eastAsia"/>
                <w:lang w:val="en-US" w:eastAsia="zh-CN"/>
              </w:rPr>
              <w:t>化工行业</w:t>
            </w:r>
            <w:r>
              <w:rPr>
                <w:rFonts w:hint="eastAsia"/>
              </w:rPr>
              <w:t>，目前市场主要在</w:t>
            </w:r>
            <w:r>
              <w:rPr>
                <w:rFonts w:hint="eastAsia"/>
                <w:lang w:val="en-US" w:eastAsia="zh-CN"/>
              </w:rPr>
              <w:t>全国</w:t>
            </w:r>
            <w:r>
              <w:rPr>
                <w:rFonts w:hint="eastAsia"/>
              </w:rPr>
              <w:t>范围。企业负责人介绍说：行业</w:t>
            </w:r>
            <w:r>
              <w:rPr>
                <w:rFonts w:hint="eastAsia"/>
                <w:lang w:val="en-US" w:eastAsia="zh-CN"/>
              </w:rPr>
              <w:t>安全环保风险大</w:t>
            </w:r>
            <w:r>
              <w:rPr>
                <w:rFonts w:hint="eastAsia"/>
              </w:rPr>
              <w:t>，价格透明，竞争激烈。</w:t>
            </w:r>
          </w:p>
          <w:p>
            <w:r>
              <w:rPr>
                <w:rFonts w:hint="eastAsia"/>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ind w:firstLine="420" w:firstLineChars="200"/>
            </w:pPr>
            <w:r>
              <w:rPr>
                <w:rFonts w:hint="eastAsia"/>
              </w:rPr>
              <w:t>对组织内外部环境进行了识别</w:t>
            </w:r>
          </w:p>
          <w:p>
            <w:r>
              <w:rPr>
                <w:rFonts w:hint="eastAsia"/>
              </w:rPr>
              <w:t>外部环境：政治、法律、社会文化等。</w:t>
            </w:r>
          </w:p>
          <w:p>
            <w:r>
              <w:rPr>
                <w:rFonts w:hint="eastAsia"/>
              </w:rPr>
              <w:t>内部环境：本公司的价值观、文化、知识、</w:t>
            </w:r>
            <w:r>
              <w:t xml:space="preserve"> </w:t>
            </w:r>
            <w:r>
              <w:rPr>
                <w:rFonts w:hint="eastAsia"/>
              </w:rPr>
              <w:t>经营规划的决策程序、部门设置和职能分配、资源因素、经营绩效、财务状况、人力因素包括新的专业知识更新和技能的提升等。</w:t>
            </w:r>
          </w:p>
          <w:p>
            <w:pPr>
              <w:ind w:firstLine="420" w:firstLineChars="200"/>
            </w:pPr>
            <w:r>
              <w:rPr>
                <w:rFonts w:hint="eastAsia"/>
              </w:rPr>
              <w:t>组织环境识别充分、有效。</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相关方的需求和期望</w:t>
            </w:r>
          </w:p>
        </w:tc>
        <w:tc>
          <w:tcPr>
            <w:tcW w:w="960" w:type="dxa"/>
          </w:tcPr>
          <w:p>
            <w:r>
              <w:t>4.2</w:t>
            </w:r>
          </w:p>
        </w:tc>
        <w:tc>
          <w:tcPr>
            <w:tcW w:w="10004" w:type="dxa"/>
          </w:tcPr>
          <w:p>
            <w:pPr>
              <w:ind w:firstLine="420" w:firstLineChars="200"/>
            </w:pPr>
            <w:r>
              <w:rPr>
                <w:rFonts w:hint="eastAsia"/>
              </w:rPr>
              <w:t>公司识别并确定了影响公司提供产品和服务能力的利益相关方：顾客、外部供应商、员工及其他为本公司工作的人员或组织等。</w:t>
            </w:r>
          </w:p>
          <w:p>
            <w:r>
              <w:rPr>
                <w:rFonts w:hint="eastAsia"/>
              </w:rPr>
              <w:t>管代介绍公司通过投标、合同约定、不同形式沟通（如：电话、面对面、调查问卷等）形式了解相关方的需求，然后提供出满足他们要求提供优质产品和完善的服务，目前公司能满足相关方的需求和期望。</w:t>
            </w:r>
          </w:p>
          <w:p>
            <w:pPr>
              <w:ind w:firstLine="420" w:firstLineChars="200"/>
            </w:pPr>
            <w:r>
              <w:rPr>
                <w:rFonts w:hint="eastAsia"/>
              </w:rPr>
              <w:t>相关方进行监视和评审的方式方法：公司通过走访、会议、上级文件、标准和规范的获取等方式对相关方的信息进行监视和评审。</w:t>
            </w:r>
          </w:p>
          <w:p>
            <w:pPr>
              <w:ind w:firstLine="420" w:firstLineChars="200"/>
            </w:pPr>
            <w:r>
              <w:rPr>
                <w:rFonts w:hint="eastAsia"/>
              </w:rPr>
              <w:t>相关方的需求和期望主要表现如下：</w:t>
            </w:r>
          </w:p>
          <w:p>
            <w:r>
              <w:rPr>
                <w:rFonts w:hint="eastAsia"/>
              </w:rPr>
              <w:t>顾客：产品质量符合要求，及时交货，物料材质环保、售后服务等</w:t>
            </w:r>
          </w:p>
          <w:p>
            <w:r>
              <w:rPr>
                <w:rFonts w:hint="eastAsia"/>
              </w:rPr>
              <w:t>供方：回款及时、物料、设备质量、环保、安全等</w:t>
            </w:r>
          </w:p>
          <w:p>
            <w:r>
              <w:rPr>
                <w:rFonts w:hint="eastAsia"/>
              </w:rPr>
              <w:t>上级主管部门：经营中遵纪守法、无安全事故，不经销假冒产品</w:t>
            </w:r>
          </w:p>
          <w:p>
            <w:r>
              <w:rPr>
                <w:rFonts w:hint="eastAsia"/>
              </w:rPr>
              <w:t>员工：薪资福利、工作环境、安全保障等。。。。。。</w:t>
            </w:r>
          </w:p>
          <w:p>
            <w:pPr>
              <w:ind w:firstLine="420" w:firstLineChars="200"/>
            </w:pPr>
            <w:r>
              <w:rPr>
                <w:rFonts w:hint="eastAsia"/>
              </w:rPr>
              <w:t>目前企业未发生处罚、相关方投诉事件</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质量管理体系的范围</w:t>
            </w:r>
          </w:p>
        </w:tc>
        <w:tc>
          <w:tcPr>
            <w:tcW w:w="960" w:type="dxa"/>
          </w:tcPr>
          <w:p>
            <w:r>
              <w:t>4.3</w:t>
            </w:r>
          </w:p>
        </w:tc>
        <w:tc>
          <w:tcPr>
            <w:tcW w:w="10004" w:type="dxa"/>
          </w:tcPr>
          <w:p>
            <w:pPr>
              <w:ind w:firstLine="420" w:firstLineChars="200"/>
            </w:pPr>
            <w:r>
              <w:rPr>
                <w:rFonts w:hint="eastAsia"/>
              </w:rPr>
              <w:t>公司按照标准要求编写了体系文件，于</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日发布、</w:t>
            </w:r>
            <w:r>
              <w:t>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Theme="minorEastAsia" w:hAnsiTheme="minorEastAsia" w:eastAsiaTheme="minorEastAsia"/>
                <w:sz w:val="21"/>
                <w:szCs w:val="21"/>
              </w:rPr>
            </w:pPr>
            <w:r>
              <w:rPr>
                <w:rFonts w:hint="eastAsia"/>
              </w:rPr>
              <w:t>公司明确了质量管理体系的边界：</w:t>
            </w:r>
            <w:bookmarkStart w:id="2" w:name="注册地址"/>
            <w:r>
              <w:t>江西省九江市湖口县金砂湾工业园柘矶路33号</w:t>
            </w:r>
            <w:bookmarkEnd w:id="2"/>
          </w:p>
          <w:p>
            <w:r>
              <w:rPr>
                <w:rFonts w:hint="eastAsia"/>
              </w:rPr>
              <w:t>范围：</w:t>
            </w:r>
            <w:r>
              <w:rPr>
                <w:sz w:val="21"/>
                <w:szCs w:val="21"/>
              </w:rPr>
              <w:t>染料中间体、染料产品的生产（限许可范围内）</w:t>
            </w:r>
            <w:r>
              <w:rPr>
                <w:rFonts w:hint="eastAsia"/>
                <w:sz w:val="21"/>
                <w:szCs w:val="21"/>
              </w:rPr>
              <w:t>。</w:t>
            </w:r>
          </w:p>
          <w:p>
            <w:pPr>
              <w:ind w:firstLine="420" w:firstLineChars="200"/>
              <w:rPr>
                <w:rFonts w:hint="default" w:eastAsia="宋体"/>
                <w:lang w:val="en-US" w:eastAsia="zh-CN"/>
              </w:rPr>
            </w:pPr>
            <w:r>
              <w:rPr>
                <w:rFonts w:hint="eastAsia"/>
              </w:rPr>
              <w:t>外包过程：</w:t>
            </w:r>
            <w:r>
              <w:rPr>
                <w:rFonts w:hint="eastAsia"/>
                <w:lang w:val="en-US" w:eastAsia="zh-CN"/>
              </w:rPr>
              <w:t>无外包</w:t>
            </w:r>
          </w:p>
          <w:p>
            <w:pPr>
              <w:ind w:firstLine="420" w:firstLineChars="200"/>
              <w:rPr>
                <w:rFonts w:hint="eastAsia"/>
              </w:rPr>
            </w:pPr>
            <w:r>
              <w:rPr>
                <w:rFonts w:hint="eastAsia"/>
              </w:rPr>
              <w:t>在确定质量管理体系的范围时考虑了公司的内外部因素和相关方的需求和期望，考虑了公司的产品和服务，与公司的宗旨和战略方向一致。符合标准要求。</w:t>
            </w:r>
          </w:p>
          <w:p>
            <w:pPr>
              <w:ind w:firstLine="420" w:firstLineChars="200"/>
              <w:rPr>
                <w:rFonts w:hint="default" w:eastAsia="宋体"/>
                <w:lang w:val="en-US" w:eastAsia="zh-CN"/>
              </w:rPr>
            </w:pPr>
            <w:r>
              <w:rPr>
                <w:rFonts w:hint="eastAsia"/>
                <w:color w:val="auto"/>
                <w:lang w:val="en-US" w:eastAsia="zh-CN"/>
              </w:rPr>
              <w:t>不适合条款8.3，</w:t>
            </w:r>
            <w:r>
              <w:rPr>
                <w:rFonts w:hint="eastAsia" w:ascii="宋体" w:hAnsi="宋体" w:eastAsia="宋体" w:cs="宋体"/>
                <w:color w:val="auto"/>
                <w:sz w:val="21"/>
                <w:szCs w:val="21"/>
              </w:rPr>
              <w:t>组织按照国标/行标和顾客要求进行染料中间体、染料产品的生产（限许可范围内），不需</w:t>
            </w:r>
            <w:r>
              <w:rPr>
                <w:rFonts w:hint="eastAsia" w:ascii="宋体" w:hAnsi="宋体" w:eastAsia="宋体" w:cs="宋体"/>
                <w:color w:val="auto"/>
                <w:sz w:val="21"/>
                <w:szCs w:val="21"/>
                <w:lang w:val="en-US" w:eastAsia="zh-CN"/>
              </w:rPr>
              <w:t>要</w:t>
            </w:r>
            <w:r>
              <w:rPr>
                <w:rFonts w:hint="eastAsia" w:ascii="宋体" w:hAnsi="宋体" w:eastAsia="宋体" w:cs="宋体"/>
                <w:color w:val="auto"/>
                <w:sz w:val="21"/>
                <w:szCs w:val="21"/>
              </w:rPr>
              <w:t>进行产品的设计和开发，因此对标准的8.3条款不适用，且不影响组织提供满足顾客要求和适用法律法规要求的产品的能力或责任，不适用合理。</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质量管理体系及其过程</w:t>
            </w:r>
          </w:p>
        </w:tc>
        <w:tc>
          <w:tcPr>
            <w:tcW w:w="960" w:type="dxa"/>
          </w:tcPr>
          <w:p>
            <w:r>
              <w:t>4.4</w:t>
            </w:r>
          </w:p>
        </w:tc>
        <w:tc>
          <w:tcPr>
            <w:tcW w:w="10004" w:type="dxa"/>
          </w:tcPr>
          <w:p>
            <w:pPr>
              <w:ind w:firstLine="420" w:firstLineChars="200"/>
            </w:pPr>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t xml:space="preserve"> </w:t>
            </w:r>
            <w:r>
              <w:rPr>
                <w:rFonts w:hint="eastAsia"/>
              </w:rPr>
              <w:t>配备了各种资源满足体系运行的需要。</w:t>
            </w:r>
            <w:r>
              <w:t xml:space="preserve"> </w:t>
            </w:r>
            <w:r>
              <w:rPr>
                <w:rFonts w:hint="eastAsia"/>
              </w:rPr>
              <w:t>确立了监视测量的方法。</w:t>
            </w:r>
          </w:p>
          <w:p>
            <w:pPr>
              <w:ind w:firstLine="420" w:firstLineChars="200"/>
              <w:rPr>
                <w:rFonts w:hint="default" w:eastAsia="宋体"/>
                <w:lang w:val="en-US" w:eastAsia="zh-CN"/>
              </w:rPr>
            </w:pPr>
            <w:r>
              <w:rPr>
                <w:rFonts w:hint="eastAsia"/>
              </w:rPr>
              <w:t>外包过程：</w:t>
            </w:r>
            <w:r>
              <w:rPr>
                <w:rFonts w:hint="eastAsia"/>
                <w:lang w:val="en-US" w:eastAsia="zh-CN"/>
              </w:rPr>
              <w:t>无外包</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
          <w:p>
            <w:pPr>
              <w:jc w:val="center"/>
            </w:pPr>
            <w:r>
              <w:rPr>
                <w:rFonts w:hint="eastAsia"/>
              </w:rPr>
              <w:t>领导作用和承诺</w:t>
            </w:r>
          </w:p>
          <w:p>
            <w:pPr>
              <w:jc w:val="center"/>
            </w:pPr>
          </w:p>
          <w:p>
            <w:pPr>
              <w:jc w:val="center"/>
            </w:pPr>
            <w:r>
              <w:rPr>
                <w:rFonts w:hint="eastAsia"/>
              </w:rPr>
              <w:t>总则</w:t>
            </w:r>
          </w:p>
        </w:tc>
        <w:tc>
          <w:tcPr>
            <w:tcW w:w="960" w:type="dxa"/>
          </w:tcPr>
          <w:p>
            <w:r>
              <w:t>5.1.1</w:t>
            </w:r>
          </w:p>
        </w:tc>
        <w:tc>
          <w:tcPr>
            <w:tcW w:w="10004" w:type="dxa"/>
          </w:tcPr>
          <w:p>
            <w:pPr>
              <w:ind w:firstLine="420" w:firstLineChars="200"/>
            </w:pPr>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
              <w:rPr>
                <w:rFonts w:hint="eastAsia"/>
              </w:rPr>
              <w:t>对质量管理体系的有效性负责；</w:t>
            </w:r>
          </w:p>
          <w:p>
            <w:r>
              <w:rPr>
                <w:rFonts w:hint="eastAsia"/>
              </w:rPr>
              <w:t>确保质量方针和质量目标的建立，并与公司的环境及战略方向保持一致；</w:t>
            </w:r>
          </w:p>
          <w:p>
            <w:r>
              <w:rPr>
                <w:rFonts w:hint="eastAsia"/>
              </w:rPr>
              <w:t>确保质量管理体系要求融入公司内部的各项业务工作之中；</w:t>
            </w:r>
          </w:p>
          <w:p>
            <w:r>
              <w:rPr>
                <w:rFonts w:hint="eastAsia"/>
              </w:rPr>
              <w:t>促进应用过程方法和基于风险的思维；</w:t>
            </w:r>
          </w:p>
          <w:p>
            <w:r>
              <w:rPr>
                <w:rFonts w:hint="eastAsia"/>
              </w:rPr>
              <w:t>确保质量管理体系所需的资源；</w:t>
            </w:r>
          </w:p>
          <w:p>
            <w:r>
              <w:rPr>
                <w:rFonts w:hint="eastAsia"/>
              </w:rPr>
              <w:t>传达沟通有效的质量管理以及满足质量管理体系要求的重要性；</w:t>
            </w:r>
          </w:p>
          <w:p>
            <w:r>
              <w:rPr>
                <w:rFonts w:hint="eastAsia"/>
              </w:rPr>
              <w:t>确保质量管理体系实现其预期结果；</w:t>
            </w:r>
          </w:p>
          <w:p>
            <w:r>
              <w:rPr>
                <w:rFonts w:hint="eastAsia"/>
              </w:rPr>
              <w:t>鼓励、促进和支持员工为质量管理体系的有效性做出贡献；</w:t>
            </w:r>
          </w:p>
          <w:p>
            <w:r>
              <w:rPr>
                <w:rFonts w:hint="eastAsia"/>
              </w:rPr>
              <w:t>不断推动各项改进；</w:t>
            </w:r>
          </w:p>
          <w:p>
            <w:r>
              <w:rPr>
                <w:rFonts w:hint="eastAsia"/>
              </w:rPr>
              <w:t>支持其他管理者在其职责范围内发挥其应尽的领导作用。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160" w:type="dxa"/>
          </w:tcPr>
          <w:p>
            <w:r>
              <w:rPr>
                <w:rFonts w:hint="eastAsia"/>
              </w:rPr>
              <w:t>以顾客为关注焦点</w:t>
            </w:r>
          </w:p>
        </w:tc>
        <w:tc>
          <w:tcPr>
            <w:tcW w:w="960" w:type="dxa"/>
          </w:tcPr>
          <w:p>
            <w:r>
              <w:t>5.1.2</w:t>
            </w:r>
          </w:p>
        </w:tc>
        <w:tc>
          <w:tcPr>
            <w:tcW w:w="10004" w:type="dxa"/>
          </w:tcPr>
          <w:p>
            <w:pPr>
              <w:ind w:firstLine="420" w:firstLineChars="200"/>
            </w:pPr>
            <w:r>
              <w:rPr>
                <w:rFonts w:hint="eastAsia"/>
              </w:rPr>
              <w:t>公司把关注焦点是放在顾客身上。公司通过投标、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方针</w:t>
            </w:r>
          </w:p>
        </w:tc>
        <w:tc>
          <w:tcPr>
            <w:tcW w:w="960" w:type="dxa"/>
          </w:tcPr>
          <w:p>
            <w:r>
              <w:t>5.2</w:t>
            </w:r>
          </w:p>
        </w:tc>
        <w:tc>
          <w:tcPr>
            <w:tcW w:w="10004" w:type="dxa"/>
          </w:tcPr>
          <w:p>
            <w:pPr>
              <w:spacing w:line="400" w:lineRule="exact"/>
              <w:ind w:firstLine="420" w:firstLineChars="200"/>
              <w:rPr>
                <w:rFonts w:hint="eastAsia"/>
              </w:rPr>
            </w:pPr>
            <w:r>
              <w:rPr>
                <w:rFonts w:hint="eastAsia"/>
              </w:rPr>
              <w:t>企业策划并制定了质量方针：</w:t>
            </w:r>
          </w:p>
          <w:p>
            <w:r>
              <w:rPr>
                <w:rFonts w:hint="eastAsia"/>
                <w:sz w:val="21"/>
                <w:szCs w:val="21"/>
              </w:rPr>
              <w:t>精益求精,以优质的产品谋求企业发展;  诚实守信,以一流的服务赢得客户满意</w:t>
            </w:r>
            <w:r>
              <w:rPr>
                <w:rFonts w:hint="eastAsia"/>
                <w:sz w:val="24"/>
              </w:rPr>
              <w:t>。</w:t>
            </w:r>
            <w:r>
              <w:rPr>
                <w:rFonts w:hint="eastAsia"/>
              </w:rPr>
              <w:t>方针在</w:t>
            </w:r>
            <w:r>
              <w:rPr>
                <w:rFonts w:hint="eastAsia"/>
                <w:lang w:val="en-US" w:eastAsia="zh-CN"/>
              </w:rPr>
              <w:t>管理</w:t>
            </w:r>
            <w:r>
              <w:rPr>
                <w:rFonts w:hint="eastAsia"/>
              </w:rPr>
              <w:t>手册中予以规定，经总经理批准实施。</w:t>
            </w:r>
          </w:p>
          <w:p>
            <w:r>
              <w:rPr>
                <w:rFonts w:hint="eastAsia"/>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w:t>
            </w:r>
            <w:r>
              <w:rPr>
                <w:rFonts w:hint="eastAsia"/>
                <w:lang w:val="en-US" w:eastAsia="zh-CN"/>
              </w:rPr>
              <w:t>管理</w:t>
            </w:r>
            <w:r>
              <w:rPr>
                <w:rFonts w:hint="eastAsia"/>
              </w:rPr>
              <w:t>方针基本适宜。</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组织的角色、职责的权限</w:t>
            </w:r>
          </w:p>
        </w:tc>
        <w:tc>
          <w:tcPr>
            <w:tcW w:w="960" w:type="dxa"/>
          </w:tcPr>
          <w:p>
            <w:r>
              <w:t>5.3</w:t>
            </w:r>
          </w:p>
        </w:tc>
        <w:tc>
          <w:tcPr>
            <w:tcW w:w="10004" w:type="dxa"/>
          </w:tcPr>
          <w:p>
            <w:pPr>
              <w:ind w:firstLine="420" w:firstLineChars="200"/>
            </w:pPr>
            <w:r>
              <w:rPr>
                <w:rFonts w:hint="eastAsia"/>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olor w:val="auto"/>
                <w:sz w:val="21"/>
                <w:szCs w:val="21"/>
              </w:rPr>
              <w:t>汪晓虹</w:t>
            </w:r>
            <w:r>
              <w:rPr>
                <w:rFonts w:hint="eastAsia"/>
              </w:rPr>
              <w:t>为管理体系的管理者代表。其职责和权限规定如下：</w:t>
            </w:r>
          </w:p>
          <w:p>
            <w:r>
              <w:rPr>
                <w:rFonts w:hint="eastAsia"/>
              </w:rPr>
              <w:t>确保本公司管理体系所需的过程得到建立、实施和保持，代表总经理行使职权；</w:t>
            </w:r>
          </w:p>
          <w:p>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策划</w:t>
            </w:r>
          </w:p>
          <w:p>
            <w:r>
              <w:rPr>
                <w:rFonts w:hint="eastAsia"/>
              </w:rPr>
              <w:t>应对风险和机遇的措施</w:t>
            </w:r>
          </w:p>
        </w:tc>
        <w:tc>
          <w:tcPr>
            <w:tcW w:w="960" w:type="dxa"/>
          </w:tcPr>
          <w:p>
            <w:r>
              <w:t>6.1</w:t>
            </w:r>
          </w:p>
        </w:tc>
        <w:tc>
          <w:tcPr>
            <w:tcW w:w="10004" w:type="dxa"/>
          </w:tcPr>
          <w:p>
            <w:pPr>
              <w:ind w:firstLine="420" w:firstLineChars="200"/>
            </w:pPr>
            <w:r>
              <w:rPr>
                <w:rFonts w:hint="eastAsia"/>
              </w:rPr>
              <w:t>公司编制了《风险和机遇控制程序》，通过识别与评价对公司目标和战略方向相关影响其实现质量管理体系预期结果的各种内外部环境因素，有效应对风险和机遇。</w:t>
            </w:r>
            <w:r>
              <w:t xml:space="preserve"> </w:t>
            </w:r>
          </w:p>
          <w:p>
            <w:r>
              <w:rPr>
                <w:rFonts w:hint="eastAsia"/>
              </w:rPr>
              <w:t>评估内容：机遇：</w:t>
            </w:r>
          </w:p>
          <w:p>
            <w:r>
              <w:t>1.</w:t>
            </w:r>
            <w:r>
              <w:tab/>
            </w:r>
            <w:r>
              <w:rPr>
                <w:rFonts w:hint="eastAsia"/>
              </w:rPr>
              <w:t>工艺成熟，质量稳定，满足客户需求；</w:t>
            </w:r>
          </w:p>
          <w:p>
            <w:r>
              <w:t>2.</w:t>
            </w:r>
            <w:r>
              <w:tab/>
            </w:r>
            <w:r>
              <w:rPr>
                <w:rFonts w:hint="eastAsia"/>
              </w:rPr>
              <w:t>人员稳定，对</w:t>
            </w:r>
            <w:r>
              <w:t>ISO</w:t>
            </w:r>
            <w:r>
              <w:rPr>
                <w:rFonts w:hint="eastAsia"/>
              </w:rPr>
              <w:t>体系管理要求的执行到位</w:t>
            </w:r>
          </w:p>
          <w:p>
            <w:r>
              <w:t>3</w:t>
            </w:r>
            <w:r>
              <w:rPr>
                <w:rFonts w:hint="eastAsia"/>
              </w:rPr>
              <w:t>、有固定的客户</w:t>
            </w:r>
          </w:p>
          <w:p>
            <w:r>
              <w:rPr>
                <w:rFonts w:hint="eastAsia"/>
              </w:rPr>
              <w:t>风险：</w:t>
            </w:r>
          </w:p>
          <w:p>
            <w:r>
              <w:t>1.</w:t>
            </w:r>
            <w:r>
              <w:rPr>
                <w:rFonts w:hint="eastAsia"/>
              </w:rPr>
              <w:t>仪器校验不准，导致质量控制结果不准确；</w:t>
            </w:r>
          </w:p>
          <w:p>
            <w:pPr>
              <w:rPr>
                <w:rFonts w:hint="default" w:eastAsia="宋体"/>
                <w:lang w:val="en-US" w:eastAsia="zh-CN"/>
              </w:rPr>
            </w:pPr>
            <w:r>
              <w:t>2.</w:t>
            </w:r>
            <w:r>
              <w:rPr>
                <w:rFonts w:hint="eastAsia"/>
              </w:rPr>
              <w:t>原材料到货不及时；</w:t>
            </w:r>
          </w:p>
          <w:p>
            <w:r>
              <w:rPr>
                <w:rFonts w:hint="eastAsia"/>
              </w:rPr>
              <w:t>针对质量风险与机遇，负责人组织人员对质量控制风险进行了识别、分析和评价。</w:t>
            </w:r>
            <w:r>
              <w:t xml:space="preserve"> </w:t>
            </w:r>
          </w:p>
          <w:p>
            <w:r>
              <w:rPr>
                <w:rFonts w:hint="eastAsia"/>
              </w:rPr>
              <w:t>通过内审、管评、目标考核等来评价风险和机遇应对措施的有效性。</w:t>
            </w:r>
          </w:p>
          <w:p>
            <w:r>
              <w:rPr>
                <w:rFonts w:hint="eastAsia"/>
              </w:rPr>
              <w:t>公司的风险和机遇识别、控制基本符合要求。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160" w:type="dxa"/>
          </w:tcPr>
          <w:p>
            <w:r>
              <w:rPr>
                <w:rFonts w:hint="eastAsia"/>
              </w:rPr>
              <w:t>质量目标及其实现的策划</w:t>
            </w:r>
          </w:p>
        </w:tc>
        <w:tc>
          <w:tcPr>
            <w:tcW w:w="960" w:type="dxa"/>
          </w:tcPr>
          <w:p>
            <w:r>
              <w:t>6.2</w:t>
            </w:r>
          </w:p>
        </w:tc>
        <w:tc>
          <w:tcPr>
            <w:tcW w:w="10004" w:type="dxa"/>
          </w:tcPr>
          <w:p>
            <w:pPr>
              <w:ind w:firstLine="420" w:firstLineChars="200"/>
            </w:pPr>
            <w:r>
              <w:rPr>
                <w:rFonts w:hint="eastAsia"/>
              </w:rPr>
              <w:t>公司总的质量目标为：</w:t>
            </w:r>
          </w:p>
          <w:p>
            <w:pPr>
              <w:spacing w:line="360" w:lineRule="auto"/>
              <w:rPr>
                <w:rFonts w:hint="eastAsia"/>
                <w:sz w:val="21"/>
                <w:szCs w:val="21"/>
              </w:rPr>
            </w:pPr>
            <w:r>
              <w:rPr>
                <w:rFonts w:hint="eastAsia"/>
                <w:sz w:val="21"/>
                <w:szCs w:val="21"/>
              </w:rPr>
              <w:t>1）产品一次交验合格率≥98 %;</w:t>
            </w:r>
          </w:p>
          <w:p>
            <w:pPr>
              <w:spacing w:line="360" w:lineRule="auto"/>
              <w:rPr>
                <w:rFonts w:hint="eastAsia"/>
                <w:sz w:val="21"/>
                <w:szCs w:val="21"/>
              </w:rPr>
            </w:pPr>
            <w:r>
              <w:rPr>
                <w:rFonts w:hint="eastAsia"/>
                <w:sz w:val="21"/>
                <w:szCs w:val="21"/>
              </w:rPr>
              <w:t>2）出厂合格率100%；</w:t>
            </w:r>
          </w:p>
          <w:p>
            <w:pPr>
              <w:spacing w:line="360" w:lineRule="auto"/>
              <w:rPr>
                <w:sz w:val="21"/>
                <w:szCs w:val="21"/>
              </w:rPr>
            </w:pPr>
            <w:r>
              <w:rPr>
                <w:rFonts w:hint="eastAsia"/>
                <w:sz w:val="21"/>
                <w:szCs w:val="21"/>
              </w:rPr>
              <w:t>3）</w:t>
            </w:r>
            <w:r>
              <w:rPr>
                <w:sz w:val="21"/>
                <w:szCs w:val="21"/>
              </w:rPr>
              <w:t>顾客满意度不低于95</w:t>
            </w:r>
            <w:r>
              <w:rPr>
                <w:rFonts w:hint="eastAsia"/>
                <w:sz w:val="21"/>
                <w:szCs w:val="21"/>
              </w:rPr>
              <w:t>分</w:t>
            </w:r>
            <w:r>
              <w:rPr>
                <w:sz w:val="21"/>
                <w:szCs w:val="21"/>
              </w:rPr>
              <w:t>；</w:t>
            </w:r>
          </w:p>
          <w:p>
            <w:pPr>
              <w:rPr>
                <w:color w:val="FF0000"/>
              </w:rPr>
            </w:pPr>
            <w:r>
              <w:rPr>
                <w:rFonts w:hint="eastAsia"/>
                <w:color w:val="auto"/>
              </w:rPr>
              <w:t>查</w:t>
            </w:r>
            <w:r>
              <w:rPr>
                <w:color w:val="auto"/>
              </w:rPr>
              <w:t>20</w:t>
            </w:r>
            <w:r>
              <w:rPr>
                <w:rFonts w:hint="eastAsia"/>
                <w:color w:val="auto"/>
                <w:lang w:val="en-US" w:eastAsia="zh-CN"/>
              </w:rPr>
              <w:t>21年7月8日</w:t>
            </w:r>
            <w:r>
              <w:rPr>
                <w:rFonts w:hint="eastAsia"/>
                <w:color w:val="auto"/>
              </w:rPr>
              <w:t>质量目标考核表完成情况：均完成。</w:t>
            </w:r>
          </w:p>
          <w:p>
            <w:r>
              <w:rPr>
                <w:rFonts w:hint="eastAsia"/>
              </w:rPr>
              <w:t>公司的质量目标已分解到相关职能部门。</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变更的策划</w:t>
            </w:r>
          </w:p>
        </w:tc>
        <w:tc>
          <w:tcPr>
            <w:tcW w:w="960" w:type="dxa"/>
          </w:tcPr>
          <w:p>
            <w:r>
              <w:t>6.3</w:t>
            </w:r>
          </w:p>
        </w:tc>
        <w:tc>
          <w:tcPr>
            <w:tcW w:w="10004" w:type="dxa"/>
          </w:tcPr>
          <w:p>
            <w:pPr>
              <w:ind w:firstLine="420" w:firstLineChars="200"/>
            </w:pPr>
            <w:r>
              <w:rPr>
                <w:rFonts w:hint="eastAsia"/>
                <w:lang w:val="en-US" w:eastAsia="zh-CN"/>
              </w:rPr>
              <w:t>管理</w:t>
            </w:r>
            <w:r>
              <w:rPr>
                <w:rFonts w:hint="eastAsia"/>
              </w:rPr>
              <w:t>手册中对质量管理体系的变更需求及时机、内容、影响方面进行了策划，变更的时机包括了：</w:t>
            </w:r>
            <w:r>
              <w:t xml:space="preserve"> </w:t>
            </w:r>
            <w:r>
              <w:rPr>
                <w:rFonts w:hint="eastAsia"/>
              </w:rPr>
              <w:t>质量管理体系的建立和实施的初始阶段；组织机构、环境发生变化；利益相关方的需求和期望方面的任何变化等。</w:t>
            </w:r>
          </w:p>
          <w:p>
            <w:r>
              <w:rPr>
                <w:rFonts w:hint="eastAsia"/>
              </w:rPr>
              <w:t>对变更的影响方面进行了识别并制定了对策：</w:t>
            </w:r>
          </w:p>
          <w:p>
            <w:r>
              <w:t>1</w:t>
            </w:r>
            <w:r>
              <w:rPr>
                <w:rFonts w:hint="eastAsia"/>
              </w:rPr>
              <w:t>）变更的目的和任何潜在的后果，变更有可能带来好的结果，也可能带来风险和挑战，如产品质量差而导致交付后不能如期达标，所以，进行变更的策划时，应考虑充分，未雨绸缪。</w:t>
            </w:r>
          </w:p>
          <w:p>
            <w:r>
              <w:t>2</w:t>
            </w:r>
            <w:r>
              <w:rPr>
                <w:rFonts w:hint="eastAsia"/>
              </w:rPr>
              <w:t>）在对质量管理体系的变更进行策划和实施时，保持质量管理体系的完整性</w:t>
            </w:r>
            <w:r>
              <w:t>:</w:t>
            </w:r>
            <w:r>
              <w:rPr>
                <w:rFonts w:hint="eastAsia"/>
              </w:rPr>
              <w:t>体系变更的策划应充分，如服务方式变更后，作业文件要发生变更，需对员工进行培训，这都需要系统考虑，这样才能保持体系的完整。</w:t>
            </w:r>
          </w:p>
          <w:p>
            <w:r>
              <w:t>3</w:t>
            </w:r>
            <w:r>
              <w:rPr>
                <w:rFonts w:hint="eastAsia"/>
              </w:rPr>
              <w:t>）资源的可获取性：体系变更后，如增加新产品时，策划了资源的配置，如人员能力等方面。</w:t>
            </w:r>
          </w:p>
          <w:p>
            <w:r>
              <w:t>4</w:t>
            </w:r>
            <w:r>
              <w:rPr>
                <w:rFonts w:hint="eastAsia"/>
              </w:rPr>
              <w:t>）职责和权限的分配或调整：公司职能和权限进行重大调整时，应确保相应文件的变更，同时确保员工能够进行文件的沟通和学习，以确保体系的完整性。</w:t>
            </w:r>
          </w:p>
          <w:p>
            <w:r>
              <w:rPr>
                <w:rFonts w:hint="eastAsia"/>
              </w:rPr>
              <w:t>在实施变更时，公司考虑了其对目前质量管理体系范围的影响。</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监测总则</w:t>
            </w:r>
          </w:p>
          <w:p>
            <w:r>
              <w:rPr>
                <w:rFonts w:hint="eastAsia"/>
              </w:rPr>
              <w:t>分析与评价</w:t>
            </w:r>
          </w:p>
        </w:tc>
        <w:tc>
          <w:tcPr>
            <w:tcW w:w="960" w:type="dxa"/>
          </w:tcPr>
          <w:p>
            <w:r>
              <w:t>9.1.1</w:t>
            </w:r>
          </w:p>
        </w:tc>
        <w:tc>
          <w:tcPr>
            <w:tcW w:w="10004" w:type="dxa"/>
          </w:tcPr>
          <w:p>
            <w:pPr>
              <w:ind w:firstLine="420" w:firstLineChars="200"/>
            </w:pPr>
            <w:r>
              <w:rPr>
                <w:rFonts w:hint="eastAsia"/>
              </w:rPr>
              <w:t>公司通过质量目标考核、内审、管理评审等对体系的有效性进行评价。</w:t>
            </w:r>
          </w:p>
          <w:p>
            <w:r>
              <w:t>1</w:t>
            </w:r>
            <w:r>
              <w:rPr>
                <w:rFonts w:hint="eastAsia"/>
              </w:rPr>
              <w:t>）提供了顾客满意调查表，并进行了分析。</w:t>
            </w:r>
          </w:p>
          <w:p>
            <w:r>
              <w:t>2</w:t>
            </w:r>
            <w:r>
              <w:rPr>
                <w:rFonts w:hint="eastAsia"/>
              </w:rPr>
              <w:t>）对过程产品质量进行了统计分析</w:t>
            </w:r>
          </w:p>
          <w:p>
            <w:r>
              <w:t>3</w:t>
            </w:r>
            <w:r>
              <w:rPr>
                <w:rFonts w:hint="eastAsia"/>
              </w:rPr>
              <w:t>）对采购物资进行验证。根据验收结果，证明供方提供的产品质量是稳定的</w:t>
            </w:r>
            <w:r>
              <w:t>.</w:t>
            </w:r>
          </w:p>
          <w:p>
            <w:r>
              <w:t>4</w:t>
            </w:r>
            <w:r>
              <w:rPr>
                <w:rFonts w:hint="eastAsia"/>
              </w:rPr>
              <w:t>）通过内审中发现的不符合，确定改进措施并实施。</w:t>
            </w:r>
          </w:p>
          <w:p>
            <w:r>
              <w:t>5</w:t>
            </w:r>
            <w:r>
              <w:rPr>
                <w:rFonts w:hint="eastAsia"/>
              </w:rPr>
              <w:t>）通过管理评审，提出改进措施，以便发现改进方向。</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管理评审</w:t>
            </w:r>
          </w:p>
        </w:tc>
        <w:tc>
          <w:tcPr>
            <w:tcW w:w="960" w:type="dxa"/>
          </w:tcPr>
          <w:p>
            <w:r>
              <w:t>9.3</w:t>
            </w:r>
          </w:p>
        </w:tc>
        <w:tc>
          <w:tcPr>
            <w:tcW w:w="10004" w:type="dxa"/>
          </w:tcPr>
          <w:p>
            <w:pPr>
              <w:ind w:firstLine="420" w:firstLineChars="200"/>
            </w:pPr>
            <w:r>
              <w:rPr>
                <w:rFonts w:hint="eastAsia"/>
              </w:rPr>
              <w:t>公司制定了编号：《管理评审控制程序》，文件规定每年至少进行一次管理评审。总经理组织于</w:t>
            </w:r>
            <w: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24</w:t>
            </w:r>
            <w:r>
              <w:rPr>
                <w:rFonts w:hint="eastAsia"/>
              </w:rPr>
              <w:t>日组织进行了一次管理评审。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w:t>
            </w:r>
            <w:r>
              <w:rPr>
                <w:rFonts w:hint="eastAsia" w:ascii="宋体" w:hAnsi="宋体" w:eastAsia="宋体" w:cs="宋体"/>
                <w:color w:val="auto"/>
                <w:sz w:val="21"/>
                <w:szCs w:val="21"/>
                <w:lang w:val="en-US" w:eastAsia="zh-CN"/>
              </w:rPr>
              <w:t>上一年度管理评审决定实施改进项的有效性验证情况、</w:t>
            </w:r>
            <w:r>
              <w:rPr>
                <w:rFonts w:hint="eastAsia"/>
              </w:rPr>
              <w:t>可能的变更、外部供方的绩效、内审情况、顾客满意情况及纠正措施完成情况，应对风险和机遇所采取措施的有效性以及改进的建议</w:t>
            </w:r>
            <w:r>
              <w:rPr>
                <w:rFonts w:hint="eastAsia"/>
                <w:lang w:eastAsia="zh-CN"/>
              </w:rPr>
              <w:t>、</w:t>
            </w:r>
            <w:r>
              <w:rPr>
                <w:rFonts w:hint="eastAsia"/>
                <w:lang w:val="en-US" w:eastAsia="zh-CN"/>
              </w:rPr>
              <w:t>上次审核不符合项的整改情况</w:t>
            </w:r>
            <w:r>
              <w:rPr>
                <w:rFonts w:hint="eastAsia"/>
              </w:rPr>
              <w:t>等等。</w:t>
            </w:r>
          </w:p>
          <w:p>
            <w:pPr>
              <w:spacing w:line="240" w:lineRule="auto"/>
            </w:pPr>
            <w:r>
              <w:rPr>
                <w:rFonts w:hint="eastAsia"/>
              </w:rPr>
              <w:t>提供《管理评审报告》，对评审情况进行了总结，各部门对各过程和活动进行了总结和讨论。</w:t>
            </w:r>
          </w:p>
          <w:p>
            <w:pPr>
              <w:spacing w:line="240" w:lineRule="auto"/>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40" w:lineRule="auto"/>
            </w:pPr>
            <w:r>
              <w:rPr>
                <w:rFonts w:hint="eastAsia"/>
              </w:rPr>
              <w:t>改进措施：</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1、各部门要继续加大对GB/T19001-2016 idt ISO9001:2015标准和公司体系文件的学习，可采用自学与辅导相结合的办法，通过学习提高对标准和文件的理解和执行能力，此项工作由综合部负责落实；</w:t>
            </w:r>
          </w:p>
          <w:p>
            <w:pPr>
              <w:spacing w:line="400" w:lineRule="exact"/>
              <w:ind w:firstLine="420" w:firstLineChars="200"/>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2、要继续加强质量检验的力度，增加过程检验人员，由综合部会同质检组从优秀的生产员工中挑选2名进行培训，择优任用。</w:t>
            </w:r>
          </w:p>
          <w:p>
            <w:pPr>
              <w:rPr>
                <w:rFonts w:hint="eastAsia"/>
              </w:rPr>
            </w:pPr>
            <w:r>
              <w:rPr>
                <w:rFonts w:hint="eastAsia"/>
              </w:rPr>
              <w:t>抽改进措施完成情况，正在进行中，预计</w:t>
            </w:r>
            <w:r>
              <w:t>20</w:t>
            </w:r>
            <w:r>
              <w:rPr>
                <w:rFonts w:hint="eastAsia"/>
                <w:lang w:val="en-US" w:eastAsia="zh-CN"/>
              </w:rPr>
              <w:t>21</w:t>
            </w:r>
            <w:r>
              <w:rPr>
                <w:rFonts w:hint="eastAsia"/>
              </w:rPr>
              <w:t>年下半年完成，下次审核关注。</w:t>
            </w:r>
          </w:p>
          <w:p>
            <w:pPr>
              <w:rPr>
                <w:rFonts w:hint="eastAsia" w:eastAsia="宋体"/>
                <w:lang w:eastAsia="zh-CN"/>
              </w:rPr>
            </w:pPr>
            <w:r>
              <w:rPr>
                <w:rFonts w:hint="eastAsia" w:eastAsia="宋体"/>
                <w:lang w:eastAsia="zh-CN"/>
              </w:rPr>
              <w:pict>
                <v:shape id="_x0000_s2050" o:spid="_x0000_s2050" o:spt="75" alt="1e43973bd335026acec77b52ba3109d" type="#_x0000_t75" style="position:absolute;left:0pt;margin-left:0pt;margin-top:1pt;height:118.65pt;width:89pt;z-index:251659264;mso-width-relative:page;mso-height-relative:page;" filled="f" o:preferrelative="t" stroked="f" coordsize="21600,21600">
                  <v:path/>
                  <v:fill on="f" focussize="0,0"/>
                  <v:stroke on="f"/>
                  <v:imagedata r:id="rId6" o:title="1e43973bd335026acec77b52ba3109d"/>
                  <o:lock v:ext="edit" aspectratio="t"/>
                </v:shape>
              </w:pict>
            </w:r>
          </w:p>
          <w:p>
            <w:pPr>
              <w:rPr>
                <w:rFonts w:hint="eastAsia" w:eastAsia="宋体"/>
                <w:lang w:eastAsia="zh-CN"/>
              </w:rPr>
            </w:pPr>
          </w:p>
          <w:p>
            <w:pPr>
              <w:rPr>
                <w:rFonts w:hint="eastAsia" w:eastAsia="宋体"/>
                <w:lang w:eastAsia="zh-CN"/>
              </w:rPr>
            </w:pPr>
          </w:p>
          <w:p>
            <w:pPr>
              <w:rPr>
                <w:rFonts w:hint="eastAsia" w:eastAsia="宋体"/>
                <w:lang w:eastAsia="zh-CN"/>
              </w:rPr>
            </w:pPr>
            <w:bookmarkStart w:id="3" w:name="_GoBack"/>
            <w:bookmarkEnd w:id="3"/>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r>
              <w:t xml:space="preserve">  </w:t>
            </w:r>
            <w:r>
              <w:rPr>
                <w:rFonts w:hint="eastAsia"/>
              </w:rPr>
              <w:t>总则</w:t>
            </w:r>
          </w:p>
        </w:tc>
        <w:tc>
          <w:tcPr>
            <w:tcW w:w="960" w:type="dxa"/>
          </w:tcPr>
          <w:p>
            <w:r>
              <w:t>10.1</w:t>
            </w:r>
          </w:p>
        </w:tc>
        <w:tc>
          <w:tcPr>
            <w:tcW w:w="10004" w:type="dxa"/>
          </w:tcPr>
          <w:p>
            <w:pPr>
              <w:ind w:firstLine="420" w:firstLineChars="200"/>
            </w:pPr>
            <w:r>
              <w:rPr>
                <w:rFonts w:hint="eastAsia"/>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
              <w:rPr>
                <w:rFonts w:hint="eastAsia"/>
              </w:rPr>
              <w:t>企业有充分识别和评价存在的改进机会，以持续满足顾客和相关方要求改进的方法措施包括：</w:t>
            </w:r>
          </w:p>
          <w:p>
            <w:r>
              <w:t>1</w:t>
            </w:r>
            <w:r>
              <w:rPr>
                <w:rFonts w:hint="eastAsia"/>
              </w:rPr>
              <w:t>）引导创新、修改和改进现有过程或实施新过程的突破项目；</w:t>
            </w:r>
          </w:p>
          <w:p>
            <w:r>
              <w:t>2</w:t>
            </w:r>
            <w:r>
              <w:rPr>
                <w:rFonts w:hint="eastAsia"/>
              </w:rPr>
              <w:t>）在现有过程中开展渐进、持续的改进活动；</w:t>
            </w:r>
          </w:p>
          <w:p>
            <w:r>
              <w:t>3</w:t>
            </w:r>
            <w:r>
              <w:rPr>
                <w:rFonts w:hint="eastAsia"/>
              </w:rPr>
              <w:t>）纠正所存在不符合的原因等。</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w:t>
            </w:r>
          </w:p>
        </w:tc>
        <w:tc>
          <w:tcPr>
            <w:tcW w:w="960" w:type="dxa"/>
          </w:tcPr>
          <w:p>
            <w:r>
              <w:t>10.3</w:t>
            </w:r>
          </w:p>
        </w:tc>
        <w:tc>
          <w:tcPr>
            <w:tcW w:w="10004" w:type="dxa"/>
          </w:tcPr>
          <w:p>
            <w:pPr>
              <w:ind w:firstLine="420" w:firstLineChars="200"/>
            </w:pPr>
            <w:r>
              <w:rPr>
                <w:rFonts w:hint="eastAsia"/>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t xml:space="preserve"> </w:t>
            </w:r>
          </w:p>
          <w:p>
            <w:r>
              <w:rPr>
                <w:rFonts w:hint="eastAsia"/>
              </w:rPr>
              <w:t>日常监视和测量过程中发现的不合格、不符合要求相关责任部门及时制定相应的改进、纠正和纠正措施，以实管理体系的持续改进。</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ascii="宋体" w:hAnsi="宋体" w:cs="Arial"/>
                <w:sz w:val="21"/>
                <w:szCs w:val="21"/>
              </w:rPr>
              <w:t>标准/规范/法规的执行情况、上次审核不符合项的验证、认证证书、标志的使用情况、投诉或事故、监督抽查情况、体系变动，</w:t>
            </w:r>
          </w:p>
        </w:tc>
        <w:tc>
          <w:tcPr>
            <w:tcW w:w="960" w:type="dxa"/>
          </w:tcPr>
          <w:p/>
        </w:tc>
        <w:tc>
          <w:tcPr>
            <w:tcW w:w="10004" w:type="dxa"/>
          </w:tcPr>
          <w:p>
            <w:r>
              <w:rPr>
                <w:rFonts w:hint="eastAsia" w:ascii="宋体" w:hAnsi="宋体" w:eastAsia="宋体" w:cs="宋体"/>
                <w:color w:val="auto"/>
                <w:sz w:val="21"/>
                <w:szCs w:val="21"/>
              </w:rPr>
              <w:t>公司执行 GB/T19001-2016/ISO 9001:2015、遵守与企业相关的法律法规和地方政策，产品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1585" w:type="dxa"/>
          </w:tcPr>
          <w:p>
            <w:r>
              <w:rPr>
                <w:rFonts w:hint="eastAsia"/>
              </w:rPr>
              <w:t>合格</w:t>
            </w:r>
          </w:p>
        </w:tc>
      </w:tr>
    </w:tbl>
    <w:p>
      <w:pPr>
        <w:jc w:val="center"/>
      </w:pPr>
    </w:p>
    <w:p>
      <w:pPr>
        <w:jc w:val="center"/>
      </w:pPr>
    </w:p>
    <w:p/>
    <w:p/>
    <w:p/>
    <w:p/>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pPr>
        <w:spacing w:line="480" w:lineRule="exact"/>
        <w:jc w:val="both"/>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19</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eastAsia"/>
      </w:rPr>
      <w:t>北京国标联合认证有限公司</w:t>
    </w:r>
    <w:r>
      <w:rPr>
        <w:rStyle w:val="13"/>
      </w:rPr>
      <w:tab/>
    </w:r>
    <w:r>
      <w:rPr>
        <w:rStyle w:val="13"/>
      </w:rPr>
      <w:tab/>
    </w:r>
    <w:r>
      <w:rPr>
        <w:rStyle w:val="13"/>
      </w:rPr>
      <w:tab/>
    </w:r>
  </w:p>
  <w:p>
    <w:pPr>
      <w:pStyle w:val="6"/>
      <w:pBdr>
        <w:bottom w:val="none" w:color="auto" w:sz="0" w:space="0"/>
      </w:pBdr>
      <w:spacing w:line="320" w:lineRule="exact"/>
      <w:jc w:val="left"/>
    </w:pPr>
    <w:r>
      <w:pict>
        <v:shape id="文本框 1" o:spid="_x0000_s4098"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t>ISC-B-I-19</w:t>
                </w:r>
                <w:r>
                  <w:rPr>
                    <w:sz w:val="18"/>
                    <w:szCs w:val="18"/>
                  </w:rPr>
                  <w:t xml:space="preserve"> </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3"/>
      </w:rPr>
      <w:t xml:space="preserve">        </w:t>
    </w:r>
    <w:r>
      <w:rPr>
        <w:rStyle w:val="13"/>
        <w:w w:val="90"/>
      </w:rPr>
      <w:t>Beijing International Standard united Certification Co.,Ltd.</w:t>
    </w:r>
    <w:r>
      <w:rPr>
        <w:rStyle w:val="13"/>
        <w:w w:val="90"/>
        <w:szCs w:val="21"/>
      </w:rPr>
      <w:t xml:space="preserve">  </w:t>
    </w:r>
    <w:r>
      <w:rPr>
        <w:rStyle w:val="13"/>
        <w:w w:val="90"/>
        <w:sz w:val="20"/>
      </w:rPr>
      <w:t xml:space="preserve"> </w:t>
    </w:r>
    <w:r>
      <w:rPr>
        <w:rStyle w:val="13"/>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311FC"/>
    <w:rsid w:val="0003373A"/>
    <w:rsid w:val="00042793"/>
    <w:rsid w:val="00047BF7"/>
    <w:rsid w:val="00051226"/>
    <w:rsid w:val="0007564A"/>
    <w:rsid w:val="00095112"/>
    <w:rsid w:val="000B51BD"/>
    <w:rsid w:val="000D2B12"/>
    <w:rsid w:val="000D5E81"/>
    <w:rsid w:val="000E6DA6"/>
    <w:rsid w:val="000F6490"/>
    <w:rsid w:val="00131B69"/>
    <w:rsid w:val="00134D34"/>
    <w:rsid w:val="001356A1"/>
    <w:rsid w:val="00161879"/>
    <w:rsid w:val="001972E9"/>
    <w:rsid w:val="001A0BC0"/>
    <w:rsid w:val="001A2D7F"/>
    <w:rsid w:val="001B413F"/>
    <w:rsid w:val="001B4460"/>
    <w:rsid w:val="001C1309"/>
    <w:rsid w:val="001C1559"/>
    <w:rsid w:val="001C46BC"/>
    <w:rsid w:val="001C5CEA"/>
    <w:rsid w:val="001F6F98"/>
    <w:rsid w:val="00202DF4"/>
    <w:rsid w:val="00204D4A"/>
    <w:rsid w:val="002259C8"/>
    <w:rsid w:val="002310DC"/>
    <w:rsid w:val="002512CC"/>
    <w:rsid w:val="002731B2"/>
    <w:rsid w:val="00277AA9"/>
    <w:rsid w:val="00290B08"/>
    <w:rsid w:val="002976F4"/>
    <w:rsid w:val="002B2E47"/>
    <w:rsid w:val="002B5F7F"/>
    <w:rsid w:val="002D542C"/>
    <w:rsid w:val="002D73E1"/>
    <w:rsid w:val="002E744C"/>
    <w:rsid w:val="00316665"/>
    <w:rsid w:val="003204A0"/>
    <w:rsid w:val="00325B79"/>
    <w:rsid w:val="00333B72"/>
    <w:rsid w:val="00337922"/>
    <w:rsid w:val="00340867"/>
    <w:rsid w:val="00356823"/>
    <w:rsid w:val="00377E0B"/>
    <w:rsid w:val="00380837"/>
    <w:rsid w:val="00383F3E"/>
    <w:rsid w:val="00390345"/>
    <w:rsid w:val="003956F8"/>
    <w:rsid w:val="003A198A"/>
    <w:rsid w:val="003A5D3B"/>
    <w:rsid w:val="003A6D83"/>
    <w:rsid w:val="003B7D8C"/>
    <w:rsid w:val="003C5838"/>
    <w:rsid w:val="00400969"/>
    <w:rsid w:val="00410914"/>
    <w:rsid w:val="00411F8B"/>
    <w:rsid w:val="00443D39"/>
    <w:rsid w:val="00463F4D"/>
    <w:rsid w:val="00467E14"/>
    <w:rsid w:val="0047714C"/>
    <w:rsid w:val="004827F2"/>
    <w:rsid w:val="004B460D"/>
    <w:rsid w:val="004B5665"/>
    <w:rsid w:val="004C3E0B"/>
    <w:rsid w:val="0050396B"/>
    <w:rsid w:val="005076C1"/>
    <w:rsid w:val="00536930"/>
    <w:rsid w:val="00543C4A"/>
    <w:rsid w:val="00564E53"/>
    <w:rsid w:val="005A1F10"/>
    <w:rsid w:val="005A2B7B"/>
    <w:rsid w:val="005A3202"/>
    <w:rsid w:val="005F3500"/>
    <w:rsid w:val="0061721B"/>
    <w:rsid w:val="0062307F"/>
    <w:rsid w:val="00642010"/>
    <w:rsid w:val="00644FE2"/>
    <w:rsid w:val="00675F21"/>
    <w:rsid w:val="0067640C"/>
    <w:rsid w:val="006D61E5"/>
    <w:rsid w:val="006E678B"/>
    <w:rsid w:val="006F5591"/>
    <w:rsid w:val="0070795A"/>
    <w:rsid w:val="007161A2"/>
    <w:rsid w:val="00726289"/>
    <w:rsid w:val="00736550"/>
    <w:rsid w:val="00756B3A"/>
    <w:rsid w:val="007757F3"/>
    <w:rsid w:val="007C3843"/>
    <w:rsid w:val="007E1007"/>
    <w:rsid w:val="007E43C5"/>
    <w:rsid w:val="007E6AEB"/>
    <w:rsid w:val="008013D3"/>
    <w:rsid w:val="008026CA"/>
    <w:rsid w:val="00866207"/>
    <w:rsid w:val="008973EE"/>
    <w:rsid w:val="008A4A4B"/>
    <w:rsid w:val="008A7C62"/>
    <w:rsid w:val="008D5825"/>
    <w:rsid w:val="008F2D8C"/>
    <w:rsid w:val="008F34FE"/>
    <w:rsid w:val="009176AF"/>
    <w:rsid w:val="00945B95"/>
    <w:rsid w:val="00971600"/>
    <w:rsid w:val="00975830"/>
    <w:rsid w:val="00992901"/>
    <w:rsid w:val="00995ED5"/>
    <w:rsid w:val="009973B4"/>
    <w:rsid w:val="009A11D8"/>
    <w:rsid w:val="009C28C1"/>
    <w:rsid w:val="009E4BC5"/>
    <w:rsid w:val="009F7EED"/>
    <w:rsid w:val="00A01F35"/>
    <w:rsid w:val="00A070C3"/>
    <w:rsid w:val="00A15F42"/>
    <w:rsid w:val="00A17D3E"/>
    <w:rsid w:val="00A42AC9"/>
    <w:rsid w:val="00A6234B"/>
    <w:rsid w:val="00A76CC8"/>
    <w:rsid w:val="00A81862"/>
    <w:rsid w:val="00A862E5"/>
    <w:rsid w:val="00A873C6"/>
    <w:rsid w:val="00AA339B"/>
    <w:rsid w:val="00AB12B5"/>
    <w:rsid w:val="00AD0C39"/>
    <w:rsid w:val="00AF07BC"/>
    <w:rsid w:val="00AF0AAB"/>
    <w:rsid w:val="00AF6941"/>
    <w:rsid w:val="00B067E9"/>
    <w:rsid w:val="00B24785"/>
    <w:rsid w:val="00B353E2"/>
    <w:rsid w:val="00B35E03"/>
    <w:rsid w:val="00B4594B"/>
    <w:rsid w:val="00B53D9A"/>
    <w:rsid w:val="00B71E07"/>
    <w:rsid w:val="00B90873"/>
    <w:rsid w:val="00B91BCA"/>
    <w:rsid w:val="00BC0C97"/>
    <w:rsid w:val="00BF597E"/>
    <w:rsid w:val="00C05F0B"/>
    <w:rsid w:val="00C229A8"/>
    <w:rsid w:val="00C231A9"/>
    <w:rsid w:val="00C414BD"/>
    <w:rsid w:val="00C415C9"/>
    <w:rsid w:val="00C51A36"/>
    <w:rsid w:val="00C55228"/>
    <w:rsid w:val="00C73E1C"/>
    <w:rsid w:val="00C858B7"/>
    <w:rsid w:val="00C955B5"/>
    <w:rsid w:val="00CA0528"/>
    <w:rsid w:val="00CC147A"/>
    <w:rsid w:val="00CD12B6"/>
    <w:rsid w:val="00CD5232"/>
    <w:rsid w:val="00CD5403"/>
    <w:rsid w:val="00CE315A"/>
    <w:rsid w:val="00CE7745"/>
    <w:rsid w:val="00D06F59"/>
    <w:rsid w:val="00D23788"/>
    <w:rsid w:val="00D35CDF"/>
    <w:rsid w:val="00D664A1"/>
    <w:rsid w:val="00D77012"/>
    <w:rsid w:val="00D8388C"/>
    <w:rsid w:val="00D92CF7"/>
    <w:rsid w:val="00DF0937"/>
    <w:rsid w:val="00DF7D54"/>
    <w:rsid w:val="00E21671"/>
    <w:rsid w:val="00E360F0"/>
    <w:rsid w:val="00E37BF2"/>
    <w:rsid w:val="00E46C7F"/>
    <w:rsid w:val="00E47110"/>
    <w:rsid w:val="00E60803"/>
    <w:rsid w:val="00E644B9"/>
    <w:rsid w:val="00E65181"/>
    <w:rsid w:val="00E6673E"/>
    <w:rsid w:val="00E94A64"/>
    <w:rsid w:val="00E96E67"/>
    <w:rsid w:val="00EB0009"/>
    <w:rsid w:val="00EB0164"/>
    <w:rsid w:val="00EB07B1"/>
    <w:rsid w:val="00EC627E"/>
    <w:rsid w:val="00ED0F62"/>
    <w:rsid w:val="00ED410C"/>
    <w:rsid w:val="00EE6E23"/>
    <w:rsid w:val="00F24306"/>
    <w:rsid w:val="00F37173"/>
    <w:rsid w:val="00F40BDE"/>
    <w:rsid w:val="00F758B8"/>
    <w:rsid w:val="00F81785"/>
    <w:rsid w:val="00F87522"/>
    <w:rsid w:val="00FA190E"/>
    <w:rsid w:val="00FC3AEE"/>
    <w:rsid w:val="00FD0CA6"/>
    <w:rsid w:val="00FF2392"/>
    <w:rsid w:val="00FF2AC6"/>
    <w:rsid w:val="028766C0"/>
    <w:rsid w:val="065D4BAD"/>
    <w:rsid w:val="07994CE9"/>
    <w:rsid w:val="09367B65"/>
    <w:rsid w:val="0CCD20D4"/>
    <w:rsid w:val="0F1006FA"/>
    <w:rsid w:val="0F8E32D7"/>
    <w:rsid w:val="108219C2"/>
    <w:rsid w:val="10B951E7"/>
    <w:rsid w:val="11083D73"/>
    <w:rsid w:val="13447A5E"/>
    <w:rsid w:val="17103D6A"/>
    <w:rsid w:val="17F148CB"/>
    <w:rsid w:val="180B51F3"/>
    <w:rsid w:val="1AE6304C"/>
    <w:rsid w:val="1C530887"/>
    <w:rsid w:val="1D59077D"/>
    <w:rsid w:val="1E772B43"/>
    <w:rsid w:val="1EF83F3F"/>
    <w:rsid w:val="1F553C10"/>
    <w:rsid w:val="21E36167"/>
    <w:rsid w:val="24797D54"/>
    <w:rsid w:val="24A031C2"/>
    <w:rsid w:val="255D3CA7"/>
    <w:rsid w:val="255F326C"/>
    <w:rsid w:val="256C0B32"/>
    <w:rsid w:val="25C331EE"/>
    <w:rsid w:val="263A318E"/>
    <w:rsid w:val="26D80404"/>
    <w:rsid w:val="27D616D3"/>
    <w:rsid w:val="27DA7338"/>
    <w:rsid w:val="2C575761"/>
    <w:rsid w:val="2EFF0469"/>
    <w:rsid w:val="300B4522"/>
    <w:rsid w:val="301346F5"/>
    <w:rsid w:val="32F42330"/>
    <w:rsid w:val="34CA657C"/>
    <w:rsid w:val="37CB5C28"/>
    <w:rsid w:val="3EB70DEC"/>
    <w:rsid w:val="3F7A455B"/>
    <w:rsid w:val="3FEC77C0"/>
    <w:rsid w:val="41CA5345"/>
    <w:rsid w:val="433777FF"/>
    <w:rsid w:val="4393342B"/>
    <w:rsid w:val="465F665C"/>
    <w:rsid w:val="470A08DC"/>
    <w:rsid w:val="4C7D592F"/>
    <w:rsid w:val="516D716F"/>
    <w:rsid w:val="531F2BB4"/>
    <w:rsid w:val="5433789D"/>
    <w:rsid w:val="56941E2D"/>
    <w:rsid w:val="56A81EFB"/>
    <w:rsid w:val="56BE3FA3"/>
    <w:rsid w:val="58CE7F49"/>
    <w:rsid w:val="5A9E4C75"/>
    <w:rsid w:val="5C7A0F52"/>
    <w:rsid w:val="5CB75C64"/>
    <w:rsid w:val="5CB8755A"/>
    <w:rsid w:val="5D2F152C"/>
    <w:rsid w:val="5E4352E6"/>
    <w:rsid w:val="5EA12B9A"/>
    <w:rsid w:val="60AE06B6"/>
    <w:rsid w:val="60FA4E76"/>
    <w:rsid w:val="63BE7C2F"/>
    <w:rsid w:val="64F158B0"/>
    <w:rsid w:val="65EC0E78"/>
    <w:rsid w:val="661B226F"/>
    <w:rsid w:val="687705CE"/>
    <w:rsid w:val="68F57B93"/>
    <w:rsid w:val="6A411628"/>
    <w:rsid w:val="6B9B32E0"/>
    <w:rsid w:val="6FC620DD"/>
    <w:rsid w:val="70397ADD"/>
    <w:rsid w:val="715C5DB5"/>
    <w:rsid w:val="71D5006A"/>
    <w:rsid w:val="72757C64"/>
    <w:rsid w:val="73C251E0"/>
    <w:rsid w:val="74CA2542"/>
    <w:rsid w:val="751530B9"/>
    <w:rsid w:val="75B625E0"/>
    <w:rsid w:val="76D305C2"/>
    <w:rsid w:val="77641443"/>
    <w:rsid w:val="78824FBB"/>
    <w:rsid w:val="7D9076FD"/>
    <w:rsid w:val="7DB959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ind w:firstLine="525" w:firstLineChars="210"/>
    </w:pPr>
    <w:rPr>
      <w:spacing w:val="20"/>
      <w:szCs w:val="24"/>
    </w:rPr>
  </w:style>
  <w:style w:type="paragraph" w:styleId="3">
    <w:name w:val="Date"/>
    <w:basedOn w:val="1"/>
    <w:next w:val="1"/>
    <w:qFormat/>
    <w:uiPriority w:val="0"/>
    <w:rPr>
      <w:szCs w:val="20"/>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4"/>
    <w:semiHidden/>
    <w:qFormat/>
    <w:locked/>
    <w:uiPriority w:val="99"/>
    <w:rPr>
      <w:rFonts w:ascii="Times New Roman" w:hAnsi="Times New Roman" w:eastAsia="宋体" w:cs="Times New Roman"/>
      <w:sz w:val="18"/>
      <w:szCs w:val="18"/>
    </w:rPr>
  </w:style>
  <w:style w:type="character" w:customStyle="1" w:styleId="11">
    <w:name w:val="Footer Char"/>
    <w:basedOn w:val="9"/>
    <w:link w:val="5"/>
    <w:qFormat/>
    <w:locked/>
    <w:uiPriority w:val="99"/>
    <w:rPr>
      <w:rFonts w:ascii="Times New Roman" w:hAnsi="Times New Roman" w:eastAsia="宋体" w:cs="Times New Roman"/>
      <w:sz w:val="18"/>
      <w:szCs w:val="18"/>
    </w:rPr>
  </w:style>
  <w:style w:type="character" w:customStyle="1" w:styleId="12">
    <w:name w:val="Header Char"/>
    <w:basedOn w:val="9"/>
    <w:link w:val="6"/>
    <w:qFormat/>
    <w:locked/>
    <w:uiPriority w:val="99"/>
    <w:rPr>
      <w:rFonts w:ascii="Times New Roman" w:hAnsi="Times New Roman" w:eastAsia="宋体" w:cs="Times New Roman"/>
      <w:sz w:val="18"/>
      <w:szCs w:val="18"/>
    </w:rPr>
  </w:style>
  <w:style w:type="character" w:customStyle="1" w:styleId="13">
    <w:name w:val="Char Char1"/>
    <w:qFormat/>
    <w:locked/>
    <w:uiPriority w:val="99"/>
    <w:rPr>
      <w:rFonts w:ascii="宋体" w:hAnsi="Courier New" w:eastAsia="宋体"/>
      <w:kern w:val="2"/>
      <w:sz w:val="21"/>
      <w:lang w:val="en-US" w:eastAsia="zh-CN"/>
    </w:rPr>
  </w:style>
  <w:style w:type="character" w:customStyle="1" w:styleId="14">
    <w:name w:val="Body Text Indent Char"/>
    <w:basedOn w:val="9"/>
    <w:link w:val="2"/>
    <w:semiHidden/>
    <w:qFormat/>
    <w:locked/>
    <w:uiPriority w:val="99"/>
    <w:rPr>
      <w:rFonts w:ascii="Times New Roman" w:hAnsi="Times New Roman" w:cs="Times New Roman"/>
      <w:sz w:val="20"/>
      <w:szCs w:val="20"/>
    </w:rPr>
  </w:style>
  <w:style w:type="paragraph" w:customStyle="1" w:styleId="15">
    <w:name w:val="Char Char Char Char Char Char Char"/>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1744</Words>
  <Characters>9946</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2021-12-09T03:19:52Z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242C0746995E46AFB0606E925D270535</vt:lpwstr>
  </property>
</Properties>
</file>