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exact"/>
        <w:jc w:val="center"/>
        <w:rPr>
          <w:rFonts w:ascii="隶书" w:hAnsi="宋体" w:eastAsia="隶书"/>
          <w:bCs/>
          <w:color w:val="000000"/>
          <w:sz w:val="36"/>
          <w:szCs w:val="36"/>
        </w:rPr>
      </w:pPr>
      <w:r>
        <w:rPr>
          <w:rFonts w:hint="eastAsia" w:ascii="隶书" w:hAnsi="宋体" w:eastAsia="隶书"/>
          <w:bCs/>
          <w:color w:val="000000"/>
          <w:sz w:val="36"/>
          <w:szCs w:val="36"/>
        </w:rPr>
        <w:t>管理体系审核记录表</w:t>
      </w:r>
    </w:p>
    <w:tbl>
      <w:tblPr>
        <w:tblStyle w:val="8"/>
        <w:tblW w:w="14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99"/>
        <w:gridCol w:w="845"/>
        <w:gridCol w:w="11182"/>
        <w:gridCol w:w="8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15" w:hRule="atLeast"/>
        </w:trPr>
        <w:tc>
          <w:tcPr>
            <w:tcW w:w="1799" w:type="dxa"/>
            <w:vMerge w:val="restart"/>
            <w:vAlign w:val="center"/>
          </w:tcPr>
          <w:p>
            <w:pPr>
              <w:spacing w:before="12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过程与活动、</w:t>
            </w:r>
          </w:p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抽样计划</w:t>
            </w:r>
          </w:p>
        </w:tc>
        <w:tc>
          <w:tcPr>
            <w:tcW w:w="845" w:type="dxa"/>
            <w:vMerge w:val="restart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涉及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条款</w:t>
            </w:r>
          </w:p>
        </w:tc>
        <w:tc>
          <w:tcPr>
            <w:tcW w:w="11182" w:type="dxa"/>
            <w:vAlign w:val="center"/>
          </w:tcPr>
          <w:p>
            <w:pPr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</w:rPr>
              <w:t>受审核部门：</w:t>
            </w:r>
            <w:r>
              <w:rPr>
                <w:rFonts w:hint="eastAsia"/>
                <w:sz w:val="21"/>
                <w:szCs w:val="21"/>
                <w:lang w:eastAsia="zh-CN"/>
              </w:rPr>
              <w:t>市场部</w:t>
            </w:r>
            <w:r>
              <w:rPr>
                <w:rFonts w:hint="eastAsia"/>
                <w:sz w:val="21"/>
                <w:szCs w:val="21"/>
              </w:rPr>
              <w:t xml:space="preserve">        主管领导：</w:t>
            </w:r>
            <w:r>
              <w:rPr>
                <w:rFonts w:hint="eastAsia" w:ascii="宋体" w:hAnsi="宋体" w:cs="宋体"/>
                <w:bCs/>
                <w:color w:val="000000"/>
                <w:sz w:val="21"/>
                <w:szCs w:val="21"/>
                <w:lang w:eastAsia="zh-CN"/>
              </w:rPr>
              <w:t>吴珊珊</w:t>
            </w:r>
            <w:r>
              <w:rPr>
                <w:rFonts w:hint="eastAsia" w:ascii="宋体" w:hAnsi="宋体" w:cs="宋体"/>
                <w:bCs/>
                <w:color w:val="000000"/>
                <w:sz w:val="21"/>
                <w:szCs w:val="21"/>
                <w:lang w:val="en-US" w:eastAsia="zh-CN"/>
              </w:rPr>
              <w:t xml:space="preserve">        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/>
              </w:rPr>
              <w:t>陪同人员：王亚文</w:t>
            </w:r>
          </w:p>
        </w:tc>
        <w:tc>
          <w:tcPr>
            <w:tcW w:w="883" w:type="dxa"/>
            <w:vMerge w:val="restart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799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845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1182" w:type="dxa"/>
            <w:vAlign w:val="center"/>
          </w:tcPr>
          <w:p>
            <w:pPr>
              <w:spacing w:before="120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审核员：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 xml:space="preserve">李俐               </w:t>
            </w:r>
            <w:r>
              <w:rPr>
                <w:rFonts w:hint="eastAsia"/>
                <w:color w:val="auto"/>
                <w:sz w:val="21"/>
                <w:szCs w:val="21"/>
              </w:rPr>
              <w:t>审核时间：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2021.11.23</w:t>
            </w:r>
          </w:p>
        </w:tc>
        <w:tc>
          <w:tcPr>
            <w:tcW w:w="883" w:type="dxa"/>
            <w:vMerge w:val="continue"/>
          </w:tcPr>
          <w:p>
            <w:pPr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1799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845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1182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审核条款：5.3/6.2/8.2/8.4/8.5.3/8.5.5/9.1.2</w:t>
            </w:r>
          </w:p>
        </w:tc>
        <w:tc>
          <w:tcPr>
            <w:tcW w:w="883" w:type="dxa"/>
            <w:vMerge w:val="continue"/>
          </w:tcPr>
          <w:p>
            <w:pPr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3" w:hRule="atLeast"/>
        </w:trPr>
        <w:tc>
          <w:tcPr>
            <w:tcW w:w="1799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组织的岗位、职责权限</w:t>
            </w:r>
          </w:p>
        </w:tc>
        <w:tc>
          <w:tcPr>
            <w:tcW w:w="845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5.3</w:t>
            </w:r>
          </w:p>
        </w:tc>
        <w:tc>
          <w:tcPr>
            <w:tcW w:w="11182" w:type="dxa"/>
            <w:vAlign w:val="center"/>
          </w:tcPr>
          <w:p>
            <w:pPr>
              <w:rPr>
                <w:rFonts w:hint="eastAsia" w:eastAsia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部门负责人：</w:t>
            </w:r>
            <w:r>
              <w:rPr>
                <w:rFonts w:hint="eastAsia"/>
                <w:color w:val="auto"/>
                <w:sz w:val="21"/>
                <w:szCs w:val="21"/>
                <w:lang w:eastAsia="zh-CN"/>
              </w:rPr>
              <w:t>吴珊珊</w:t>
            </w:r>
          </w:p>
          <w:p>
            <w:pPr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询问其职责权限：负责销售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服务</w:t>
            </w:r>
            <w:r>
              <w:rPr>
                <w:rFonts w:hint="eastAsia"/>
                <w:color w:val="auto"/>
                <w:sz w:val="21"/>
                <w:szCs w:val="21"/>
              </w:rPr>
              <w:t>合同的签定及与合同和顾客有关的外部联系。负责进行市场调查与顾客满意度的调查销售管理工作。职责明确，回答基本完整。</w:t>
            </w:r>
          </w:p>
        </w:tc>
        <w:tc>
          <w:tcPr>
            <w:tcW w:w="883" w:type="dxa"/>
          </w:tcPr>
          <w:p>
            <w:pPr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3" w:hRule="atLeast"/>
        </w:trPr>
        <w:tc>
          <w:tcPr>
            <w:tcW w:w="1799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质量目标</w:t>
            </w:r>
          </w:p>
        </w:tc>
        <w:tc>
          <w:tcPr>
            <w:tcW w:w="845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6.2</w:t>
            </w:r>
          </w:p>
        </w:tc>
        <w:tc>
          <w:tcPr>
            <w:tcW w:w="11182" w:type="dxa"/>
            <w:vAlign w:val="center"/>
          </w:tcPr>
          <w:p>
            <w:r>
              <w:rPr>
                <w:rFonts w:hint="eastAsia"/>
              </w:rPr>
              <w:t>部门质量目标：               考核情况（202</w:t>
            </w:r>
            <w:r>
              <w:rPr>
                <w:rFonts w:hint="eastAsia"/>
                <w:lang w:val="en-US" w:eastAsia="zh-CN"/>
              </w:rPr>
              <w:t>1</w:t>
            </w:r>
            <w:r>
              <w:rPr>
                <w:rFonts w:hint="eastAsia"/>
              </w:rPr>
              <w:t>.</w:t>
            </w:r>
            <w:r>
              <w:rPr>
                <w:rFonts w:hint="eastAsia"/>
                <w:lang w:val="en-US" w:eastAsia="zh-CN"/>
              </w:rPr>
              <w:t>5-10</w:t>
            </w:r>
            <w:r>
              <w:rPr>
                <w:rFonts w:hint="eastAsia"/>
              </w:rPr>
              <w:t>）</w:t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</w:rPr>
              <w:t xml:space="preserve">顾客满意度调查≥92分。       </w:t>
            </w:r>
            <w:r>
              <w:rPr>
                <w:rFonts w:hint="eastAsia"/>
                <w:lang w:val="en-US" w:eastAsia="zh-CN"/>
              </w:rPr>
              <w:t xml:space="preserve">   95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</w:rPr>
              <w:t>目标实现。统计：</w:t>
            </w:r>
            <w:r>
              <w:rPr>
                <w:rFonts w:hint="eastAsia"/>
                <w:lang w:eastAsia="zh-CN"/>
              </w:rPr>
              <w:t>吴珊珊，</w:t>
            </w:r>
            <w:r>
              <w:rPr>
                <w:rFonts w:hint="eastAsia"/>
                <w:lang w:val="en-US" w:eastAsia="zh-CN"/>
              </w:rPr>
              <w:t>2021.11.8</w:t>
            </w:r>
          </w:p>
          <w:p>
            <w:pPr>
              <w:pStyle w:val="2"/>
              <w:rPr>
                <w:rFonts w:hint="default"/>
                <w:lang w:val="en-US" w:eastAsia="zh-CN"/>
              </w:rPr>
            </w:pPr>
          </w:p>
        </w:tc>
        <w:tc>
          <w:tcPr>
            <w:tcW w:w="883" w:type="dxa"/>
          </w:tcPr>
          <w:p>
            <w:pPr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1" w:hRule="atLeast"/>
        </w:trPr>
        <w:tc>
          <w:tcPr>
            <w:tcW w:w="1799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顾客沟通</w:t>
            </w:r>
          </w:p>
        </w:tc>
        <w:tc>
          <w:tcPr>
            <w:tcW w:w="845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8.2.1</w:t>
            </w:r>
          </w:p>
        </w:tc>
        <w:tc>
          <w:tcPr>
            <w:tcW w:w="11182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公司通过走访、电话、邮件等方式与顾客交流，主要进行以下沟通：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1、在产品交付中向顾客提供保证产品品质的有关信息。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2、接受顾客问询、询价、合同的处理。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3、根据合同要求进行有关的事宜，对顾客的投诉或意见进行及时处理和答复。到目前为止未发生顾客不满意及投诉现象。</w:t>
            </w:r>
          </w:p>
        </w:tc>
        <w:tc>
          <w:tcPr>
            <w:tcW w:w="883" w:type="dxa"/>
          </w:tcPr>
          <w:p>
            <w:pPr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37" w:hRule="atLeast"/>
        </w:trPr>
        <w:tc>
          <w:tcPr>
            <w:tcW w:w="1799" w:type="dxa"/>
            <w:vAlign w:val="center"/>
          </w:tcPr>
          <w:p>
            <w:pPr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与产品有关要求的确定</w:t>
            </w:r>
          </w:p>
        </w:tc>
        <w:tc>
          <w:tcPr>
            <w:tcW w:w="845" w:type="dxa"/>
            <w:vAlign w:val="center"/>
          </w:tcPr>
          <w:p>
            <w:pPr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8.2.2</w:t>
            </w:r>
          </w:p>
        </w:tc>
        <w:tc>
          <w:tcPr>
            <w:tcW w:w="11182" w:type="dxa"/>
            <w:vAlign w:val="center"/>
          </w:tcPr>
          <w:p>
            <w:pPr>
              <w:rPr>
                <w:rFonts w:hint="eastAsia" w:eastAsia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该公司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的顾客较为固定，为中铁宝桥集团有限公司提供铁路道岔、机械城轨等大型物件的运输；为西安京西双鹤药业有限公司提供药品的运输；与顾客</w:t>
            </w:r>
            <w:r>
              <w:rPr>
                <w:rFonts w:hint="eastAsia"/>
                <w:color w:val="auto"/>
                <w:sz w:val="21"/>
                <w:szCs w:val="21"/>
              </w:rPr>
              <w:t>签订的书面合同，由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总经理</w:t>
            </w:r>
            <w:r>
              <w:rPr>
                <w:rFonts w:hint="eastAsia"/>
                <w:color w:val="auto"/>
                <w:sz w:val="21"/>
                <w:szCs w:val="21"/>
              </w:rPr>
              <w:t>组织相关部门以会议或会签的形式进行评审，并做好《合同评审记录》的记录。</w:t>
            </w:r>
          </w:p>
          <w:p>
            <w:pPr>
              <w:rPr>
                <w:rFonts w:hint="eastAsia" w:eastAsia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查公司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运输服务</w:t>
            </w:r>
            <w:r>
              <w:rPr>
                <w:rFonts w:hint="eastAsia"/>
                <w:color w:val="auto"/>
                <w:sz w:val="21"/>
                <w:szCs w:val="21"/>
              </w:rPr>
              <w:t>合同</w:t>
            </w:r>
          </w:p>
          <w:p>
            <w:pPr>
              <w:rPr>
                <w:rFonts w:hint="eastAsia"/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——</w:t>
            </w:r>
            <w:r>
              <w:rPr>
                <w:rFonts w:hint="eastAsia"/>
                <w:color w:val="auto"/>
                <w:sz w:val="21"/>
                <w:szCs w:val="21"/>
                <w:lang w:eastAsia="zh-CN"/>
              </w:rPr>
              <w:t>《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2021年公路零担成品运输公路货物运输合同</w:t>
            </w:r>
            <w:r>
              <w:rPr>
                <w:rFonts w:hint="eastAsia"/>
                <w:color w:val="auto"/>
                <w:sz w:val="21"/>
                <w:szCs w:val="21"/>
                <w:lang w:eastAsia="zh-CN"/>
              </w:rPr>
              <w:t>》</w:t>
            </w:r>
            <w:r>
              <w:rPr>
                <w:rFonts w:hint="eastAsia"/>
                <w:color w:val="auto"/>
                <w:sz w:val="21"/>
                <w:szCs w:val="21"/>
              </w:rPr>
              <w:t>合同签订日期为 202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/>
                <w:color w:val="auto"/>
                <w:sz w:val="21"/>
                <w:szCs w:val="21"/>
              </w:rPr>
              <w:t>年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/>
                <w:color w:val="auto"/>
                <w:sz w:val="21"/>
                <w:szCs w:val="21"/>
              </w:rPr>
              <w:t>月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9</w:t>
            </w:r>
            <w:r>
              <w:rPr>
                <w:rFonts w:hint="eastAsia"/>
                <w:color w:val="auto"/>
                <w:sz w:val="21"/>
                <w:szCs w:val="21"/>
              </w:rPr>
              <w:t>日</w:t>
            </w:r>
          </w:p>
          <w:p>
            <w:pPr>
              <w:rPr>
                <w:rFonts w:hint="eastAsia" w:eastAsia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托运方</w:t>
            </w:r>
            <w:r>
              <w:rPr>
                <w:rFonts w:hint="eastAsia"/>
                <w:color w:val="auto"/>
                <w:sz w:val="21"/>
                <w:szCs w:val="21"/>
              </w:rPr>
              <w:t>：</w:t>
            </w:r>
            <w:r>
              <w:rPr>
                <w:rFonts w:hint="eastAsia"/>
                <w:color w:val="auto"/>
                <w:sz w:val="21"/>
                <w:szCs w:val="21"/>
                <w:lang w:eastAsia="zh-CN"/>
              </w:rPr>
              <w:t>中铁宝桥集团有限公司</w:t>
            </w:r>
          </w:p>
          <w:p>
            <w:pPr>
              <w:rPr>
                <w:rFonts w:hint="eastAsia"/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承运方</w:t>
            </w:r>
            <w:r>
              <w:rPr>
                <w:rFonts w:hint="eastAsia"/>
                <w:color w:val="auto"/>
                <w:sz w:val="21"/>
                <w:szCs w:val="21"/>
              </w:rPr>
              <w:t>：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陕西辐轼通物流有限公司</w:t>
            </w:r>
          </w:p>
          <w:p>
            <w:pPr>
              <w:rPr>
                <w:rFonts w:hint="eastAsia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托运</w:t>
            </w:r>
            <w:r>
              <w:rPr>
                <w:rFonts w:hint="eastAsia"/>
                <w:color w:val="auto"/>
                <w:sz w:val="21"/>
                <w:szCs w:val="21"/>
              </w:rPr>
              <w:t>产品：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路零担成品、机械城轨等大型物件</w:t>
            </w:r>
          </w:p>
          <w:p>
            <w:pPr>
              <w:pStyle w:val="2"/>
              <w:rPr>
                <w:rFonts w:hint="default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合同内容包含：运输价格表、运输货物起点和到达点、运输时间、运输方式及车辆人员要求、货物的装卸、货物的验收、运费的结算与支付等内容。</w:t>
            </w:r>
          </w:p>
          <w:p>
            <w:pPr>
              <w:rPr>
                <w:rFonts w:hint="eastAsia"/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合同写明了双方的责任和要求及义务。</w:t>
            </w:r>
          </w:p>
          <w:p>
            <w:pPr>
              <w:rPr>
                <w:rFonts w:hint="eastAsia"/>
                <w:color w:val="auto"/>
                <w:sz w:val="21"/>
                <w:szCs w:val="21"/>
              </w:rPr>
            </w:pPr>
          </w:p>
          <w:p>
            <w:pPr>
              <w:rPr>
                <w:rFonts w:hint="eastAsia"/>
                <w:color w:val="auto"/>
                <w:sz w:val="21"/>
                <w:szCs w:val="21"/>
              </w:rPr>
            </w:pPr>
          </w:p>
          <w:p>
            <w:pPr>
              <w:rPr>
                <w:rFonts w:hint="eastAsia" w:eastAsia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color w:val="auto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2880360</wp:posOffset>
                  </wp:positionH>
                  <wp:positionV relativeFrom="paragraph">
                    <wp:posOffset>60960</wp:posOffset>
                  </wp:positionV>
                  <wp:extent cx="2686685" cy="3792855"/>
                  <wp:effectExtent l="0" t="0" r="5715" b="4445"/>
                  <wp:wrapNone/>
                  <wp:docPr id="3" name="图片 3" descr="微信图片_202111230910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微信图片_20211123091043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685" cy="3792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="宋体"/>
                <w:color w:val="auto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66675</wp:posOffset>
                  </wp:positionV>
                  <wp:extent cx="2677160" cy="3763010"/>
                  <wp:effectExtent l="0" t="0" r="2540" b="8890"/>
                  <wp:wrapNone/>
                  <wp:docPr id="2" name="图片 2" descr="微信图片_20211123091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微信图片_2021112309104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7160" cy="3763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2"/>
              <w:rPr>
                <w:rFonts w:hint="eastAsia" w:eastAsia="宋体"/>
                <w:color w:val="auto"/>
                <w:sz w:val="21"/>
                <w:szCs w:val="21"/>
                <w:lang w:eastAsia="zh-CN"/>
              </w:rPr>
            </w:pPr>
          </w:p>
          <w:p>
            <w:pPr>
              <w:pStyle w:val="2"/>
              <w:rPr>
                <w:rFonts w:hint="eastAsia"/>
                <w:color w:val="auto"/>
                <w:sz w:val="21"/>
                <w:szCs w:val="21"/>
              </w:rPr>
            </w:pPr>
          </w:p>
          <w:p>
            <w:pPr>
              <w:pStyle w:val="2"/>
              <w:rPr>
                <w:rFonts w:hint="eastAsia"/>
                <w:color w:val="auto"/>
                <w:sz w:val="21"/>
                <w:szCs w:val="21"/>
              </w:rPr>
            </w:pPr>
          </w:p>
          <w:p>
            <w:pPr>
              <w:pStyle w:val="2"/>
              <w:rPr>
                <w:rFonts w:hint="eastAsia"/>
                <w:color w:val="auto"/>
                <w:sz w:val="21"/>
                <w:szCs w:val="21"/>
              </w:rPr>
            </w:pPr>
          </w:p>
          <w:p>
            <w:pPr>
              <w:pStyle w:val="2"/>
              <w:rPr>
                <w:rFonts w:hint="eastAsia"/>
                <w:color w:val="auto"/>
                <w:sz w:val="21"/>
                <w:szCs w:val="21"/>
              </w:rPr>
            </w:pPr>
          </w:p>
          <w:p>
            <w:pPr>
              <w:pStyle w:val="2"/>
              <w:rPr>
                <w:rFonts w:hint="eastAsia"/>
                <w:color w:val="auto"/>
                <w:sz w:val="21"/>
                <w:szCs w:val="21"/>
              </w:rPr>
            </w:pPr>
          </w:p>
          <w:p>
            <w:pPr>
              <w:pStyle w:val="2"/>
              <w:rPr>
                <w:rFonts w:hint="eastAsia"/>
                <w:color w:val="auto"/>
                <w:sz w:val="21"/>
                <w:szCs w:val="21"/>
              </w:rPr>
            </w:pPr>
          </w:p>
          <w:p>
            <w:pPr>
              <w:pStyle w:val="2"/>
              <w:rPr>
                <w:rFonts w:hint="eastAsia"/>
                <w:color w:val="auto"/>
                <w:sz w:val="21"/>
                <w:szCs w:val="21"/>
              </w:rPr>
            </w:pPr>
          </w:p>
          <w:p>
            <w:pPr>
              <w:pStyle w:val="2"/>
              <w:rPr>
                <w:rFonts w:hint="eastAsia"/>
                <w:color w:val="auto"/>
                <w:sz w:val="21"/>
                <w:szCs w:val="21"/>
              </w:rPr>
            </w:pPr>
          </w:p>
          <w:p>
            <w:pPr>
              <w:pStyle w:val="2"/>
              <w:rPr>
                <w:rFonts w:hint="eastAsia"/>
                <w:color w:val="auto"/>
                <w:sz w:val="21"/>
                <w:szCs w:val="21"/>
              </w:rPr>
            </w:pPr>
          </w:p>
          <w:p>
            <w:pPr>
              <w:pStyle w:val="2"/>
              <w:rPr>
                <w:rFonts w:hint="eastAsia"/>
                <w:color w:val="auto"/>
                <w:sz w:val="21"/>
                <w:szCs w:val="21"/>
              </w:rPr>
            </w:pPr>
          </w:p>
          <w:p>
            <w:pPr>
              <w:pStyle w:val="2"/>
              <w:rPr>
                <w:rFonts w:hint="eastAsia"/>
                <w:color w:val="auto"/>
                <w:sz w:val="21"/>
                <w:szCs w:val="21"/>
              </w:rPr>
            </w:pPr>
          </w:p>
          <w:p>
            <w:pPr>
              <w:rPr>
                <w:rFonts w:hint="eastAsia"/>
                <w:color w:val="auto"/>
                <w:sz w:val="21"/>
                <w:szCs w:val="21"/>
              </w:rPr>
            </w:pPr>
          </w:p>
          <w:p>
            <w:pPr>
              <w:rPr>
                <w:rFonts w:hint="eastAsia"/>
                <w:color w:val="auto"/>
                <w:sz w:val="21"/>
                <w:szCs w:val="21"/>
              </w:rPr>
            </w:pPr>
          </w:p>
          <w:p>
            <w:pPr>
              <w:rPr>
                <w:rFonts w:hint="eastAsia"/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  <w:lang w:eastAsia="zh-CN"/>
              </w:rPr>
              <w:t>《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运输合同</w:t>
            </w:r>
            <w:r>
              <w:rPr>
                <w:rFonts w:hint="eastAsia"/>
                <w:color w:val="auto"/>
                <w:sz w:val="21"/>
                <w:szCs w:val="21"/>
                <w:lang w:eastAsia="zh-CN"/>
              </w:rPr>
              <w:t>》</w:t>
            </w:r>
            <w:r>
              <w:rPr>
                <w:rFonts w:hint="eastAsia"/>
                <w:color w:val="auto"/>
                <w:sz w:val="21"/>
                <w:szCs w:val="21"/>
              </w:rPr>
              <w:t>合同签订日期为 202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0</w:t>
            </w:r>
            <w:r>
              <w:rPr>
                <w:rFonts w:hint="eastAsia"/>
                <w:color w:val="auto"/>
                <w:sz w:val="21"/>
                <w:szCs w:val="21"/>
              </w:rPr>
              <w:t>年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1月13日</w:t>
            </w:r>
          </w:p>
          <w:p>
            <w:pPr>
              <w:rPr>
                <w:rFonts w:hint="eastAsia" w:eastAsia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托运方</w:t>
            </w:r>
            <w:r>
              <w:rPr>
                <w:rFonts w:hint="eastAsia"/>
                <w:color w:val="auto"/>
                <w:sz w:val="21"/>
                <w:szCs w:val="21"/>
              </w:rPr>
              <w:t>：</w:t>
            </w:r>
            <w:r>
              <w:rPr>
                <w:rFonts w:hint="eastAsia"/>
                <w:color w:val="auto"/>
                <w:sz w:val="21"/>
                <w:szCs w:val="21"/>
                <w:lang w:eastAsia="zh-CN"/>
              </w:rPr>
              <w:t>陕西金叶印务有限公司</w:t>
            </w:r>
          </w:p>
          <w:p>
            <w:pPr>
              <w:rPr>
                <w:rFonts w:hint="eastAsia"/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承运方</w:t>
            </w:r>
            <w:r>
              <w:rPr>
                <w:rFonts w:hint="eastAsia"/>
                <w:color w:val="auto"/>
                <w:sz w:val="21"/>
                <w:szCs w:val="21"/>
              </w:rPr>
              <w:t>：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陕西辐轼通物流有限公司</w:t>
            </w:r>
          </w:p>
          <w:p>
            <w:pPr>
              <w:rPr>
                <w:rFonts w:hint="eastAsia" w:eastAsia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2020年1月13日签订，合同有效期2020年1月1日至2022年6月30日   货物为药品。</w:t>
            </w:r>
          </w:p>
          <w:p>
            <w:pPr>
              <w:rPr>
                <w:rFonts w:hint="eastAsia"/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合同内容包含：运输价格表、运输货物起点和到达点、运输时间、运输方式及车辆人员要求、货物的装卸、货物的验收、运费的结算与支付等内容。</w:t>
            </w:r>
          </w:p>
          <w:p>
            <w:pPr>
              <w:rPr>
                <w:rFonts w:hint="eastAsia"/>
                <w:color w:val="auto"/>
                <w:sz w:val="21"/>
                <w:szCs w:val="21"/>
              </w:rPr>
            </w:pPr>
            <w:r>
              <w:rPr>
                <w:rFonts w:hint="eastAsia" w:eastAsia="宋体"/>
                <w:color w:val="auto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2638425</wp:posOffset>
                  </wp:positionH>
                  <wp:positionV relativeFrom="paragraph">
                    <wp:posOffset>350520</wp:posOffset>
                  </wp:positionV>
                  <wp:extent cx="2620010" cy="3614420"/>
                  <wp:effectExtent l="0" t="0" r="8890" b="5080"/>
                  <wp:wrapNone/>
                  <wp:docPr id="5" name="图片 5" descr="6259fbbffcabc41990afa17fd1bb5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6259fbbffcabc41990afa17fd1bb5ea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0010" cy="361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="宋体"/>
                <w:color w:val="auto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341630</wp:posOffset>
                  </wp:positionV>
                  <wp:extent cx="2296795" cy="3586480"/>
                  <wp:effectExtent l="0" t="0" r="1905" b="7620"/>
                  <wp:wrapNone/>
                  <wp:docPr id="4" name="图片 4" descr="9d03b648f0accbe72957cc61ef01a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9d03b648f0accbe72957cc61ef01a6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795" cy="358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color w:val="auto"/>
                <w:sz w:val="21"/>
                <w:szCs w:val="21"/>
              </w:rPr>
              <w:t>合同写明了双方的责任和要求及义务。</w:t>
            </w:r>
          </w:p>
          <w:p>
            <w:pPr>
              <w:pStyle w:val="2"/>
              <w:rPr>
                <w:rFonts w:hint="eastAsia" w:eastAsia="宋体"/>
                <w:color w:val="auto"/>
                <w:sz w:val="21"/>
                <w:szCs w:val="21"/>
                <w:lang w:eastAsia="zh-CN"/>
              </w:rPr>
            </w:pPr>
          </w:p>
          <w:p>
            <w:pPr>
              <w:pStyle w:val="2"/>
              <w:rPr>
                <w:color w:val="auto"/>
                <w:sz w:val="21"/>
                <w:szCs w:val="21"/>
              </w:rPr>
            </w:pPr>
          </w:p>
          <w:p>
            <w:pPr>
              <w:pStyle w:val="2"/>
              <w:rPr>
                <w:rFonts w:hint="eastAsia" w:eastAsia="宋体"/>
                <w:color w:val="auto"/>
                <w:sz w:val="21"/>
                <w:szCs w:val="21"/>
                <w:lang w:eastAsia="zh-CN"/>
              </w:rPr>
            </w:pPr>
          </w:p>
          <w:p>
            <w:pPr>
              <w:pStyle w:val="2"/>
              <w:rPr>
                <w:color w:val="auto"/>
                <w:sz w:val="21"/>
                <w:szCs w:val="21"/>
              </w:rPr>
            </w:pPr>
          </w:p>
          <w:p>
            <w:pPr>
              <w:pStyle w:val="2"/>
              <w:rPr>
                <w:color w:val="auto"/>
                <w:sz w:val="21"/>
                <w:szCs w:val="21"/>
              </w:rPr>
            </w:pPr>
          </w:p>
          <w:p>
            <w:pPr>
              <w:pStyle w:val="2"/>
              <w:rPr>
                <w:color w:val="auto"/>
                <w:sz w:val="21"/>
                <w:szCs w:val="21"/>
              </w:rPr>
            </w:pPr>
          </w:p>
          <w:p>
            <w:pPr>
              <w:pStyle w:val="2"/>
              <w:rPr>
                <w:color w:val="auto"/>
                <w:sz w:val="21"/>
                <w:szCs w:val="21"/>
              </w:rPr>
            </w:pPr>
          </w:p>
          <w:p>
            <w:pPr>
              <w:pStyle w:val="2"/>
              <w:rPr>
                <w:color w:val="auto"/>
                <w:sz w:val="21"/>
                <w:szCs w:val="21"/>
              </w:rPr>
            </w:pPr>
          </w:p>
          <w:p>
            <w:pPr>
              <w:pStyle w:val="2"/>
              <w:rPr>
                <w:color w:val="auto"/>
                <w:sz w:val="21"/>
                <w:szCs w:val="21"/>
              </w:rPr>
            </w:pPr>
          </w:p>
          <w:p>
            <w:pPr>
              <w:pStyle w:val="2"/>
              <w:rPr>
                <w:color w:val="auto"/>
                <w:sz w:val="21"/>
                <w:szCs w:val="21"/>
              </w:rPr>
            </w:pPr>
          </w:p>
          <w:p>
            <w:pPr>
              <w:pStyle w:val="2"/>
              <w:rPr>
                <w:color w:val="auto"/>
                <w:sz w:val="21"/>
                <w:szCs w:val="21"/>
              </w:rPr>
            </w:pPr>
          </w:p>
          <w:p>
            <w:pPr>
              <w:pStyle w:val="2"/>
              <w:rPr>
                <w:color w:val="auto"/>
                <w:sz w:val="21"/>
                <w:szCs w:val="21"/>
              </w:rPr>
            </w:pPr>
          </w:p>
          <w:p>
            <w:pPr>
              <w:pStyle w:val="2"/>
              <w:rPr>
                <w:color w:val="auto"/>
                <w:sz w:val="21"/>
                <w:szCs w:val="21"/>
              </w:rPr>
            </w:pPr>
          </w:p>
          <w:p>
            <w:pPr>
              <w:pStyle w:val="2"/>
              <w:rPr>
                <w:color w:val="auto"/>
                <w:sz w:val="21"/>
                <w:szCs w:val="21"/>
              </w:rPr>
            </w:pPr>
          </w:p>
          <w:p>
            <w:pPr>
              <w:pStyle w:val="2"/>
              <w:rPr>
                <w:color w:val="auto"/>
                <w:sz w:val="21"/>
                <w:szCs w:val="21"/>
              </w:rPr>
            </w:pPr>
          </w:p>
          <w:p>
            <w:pPr>
              <w:pStyle w:val="2"/>
              <w:rPr>
                <w:color w:val="auto"/>
                <w:sz w:val="21"/>
                <w:szCs w:val="21"/>
              </w:rPr>
            </w:pPr>
          </w:p>
        </w:tc>
        <w:tc>
          <w:tcPr>
            <w:tcW w:w="883" w:type="dxa"/>
          </w:tcPr>
          <w:p>
            <w:pPr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1" w:hRule="atLeast"/>
        </w:trPr>
        <w:tc>
          <w:tcPr>
            <w:tcW w:w="1799" w:type="dxa"/>
            <w:vAlign w:val="center"/>
          </w:tcPr>
          <w:p>
            <w:pPr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产品有关要求的评审及变更</w:t>
            </w:r>
          </w:p>
        </w:tc>
        <w:tc>
          <w:tcPr>
            <w:tcW w:w="845" w:type="dxa"/>
            <w:vAlign w:val="center"/>
          </w:tcPr>
          <w:p>
            <w:pPr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8.2.3</w:t>
            </w:r>
          </w:p>
          <w:p>
            <w:pPr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8.2.4</w:t>
            </w:r>
          </w:p>
        </w:tc>
        <w:tc>
          <w:tcPr>
            <w:tcW w:w="11182" w:type="dxa"/>
            <w:vAlign w:val="center"/>
          </w:tcPr>
          <w:p>
            <w:pPr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查合同的评审记录，提供《合同、订单评审表》</w:t>
            </w:r>
          </w:p>
          <w:p>
            <w:pPr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  <w:lang w:eastAsia="zh-CN"/>
              </w:rPr>
              <w:t>《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2021年公路零担成品运输公路货物运输合同</w:t>
            </w:r>
            <w:r>
              <w:rPr>
                <w:rFonts w:hint="eastAsia"/>
                <w:color w:val="auto"/>
                <w:sz w:val="21"/>
                <w:szCs w:val="21"/>
                <w:lang w:eastAsia="zh-CN"/>
              </w:rPr>
              <w:t>》</w:t>
            </w:r>
            <w:r>
              <w:rPr>
                <w:rFonts w:hint="eastAsia"/>
                <w:color w:val="auto"/>
                <w:sz w:val="21"/>
                <w:szCs w:val="21"/>
              </w:rPr>
              <w:t>评审日期：202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/>
                <w:color w:val="auto"/>
                <w:sz w:val="21"/>
                <w:szCs w:val="21"/>
              </w:rPr>
              <w:t>年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/>
                <w:color w:val="auto"/>
                <w:sz w:val="21"/>
                <w:szCs w:val="21"/>
              </w:rPr>
              <w:t>月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8</w:t>
            </w:r>
            <w:r>
              <w:rPr>
                <w:rFonts w:hint="eastAsia"/>
                <w:color w:val="auto"/>
                <w:sz w:val="21"/>
                <w:szCs w:val="21"/>
              </w:rPr>
              <w:t>日评审。评审在合同签订之前进行。符合要求。</w:t>
            </w:r>
          </w:p>
          <w:p>
            <w:pPr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评审内容包括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运输价格表、运输货物起点和到达点、运输时间、运输方式及车辆人员要求、货物的装卸、货物的验收、运费的结算与支付等内容</w:t>
            </w:r>
            <w:r>
              <w:rPr>
                <w:rFonts w:hint="eastAsia"/>
                <w:color w:val="auto"/>
                <w:sz w:val="21"/>
                <w:szCs w:val="21"/>
              </w:rPr>
              <w:t>。评审结果：全部通过。</w:t>
            </w:r>
          </w:p>
          <w:p>
            <w:pPr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公司目前暂无合同更改情况。</w:t>
            </w:r>
          </w:p>
        </w:tc>
        <w:tc>
          <w:tcPr>
            <w:tcW w:w="883" w:type="dxa"/>
          </w:tcPr>
          <w:p>
            <w:pPr>
              <w:rPr>
                <w:color w:val="FF0000"/>
                <w:sz w:val="21"/>
                <w:szCs w:val="21"/>
              </w:rPr>
            </w:pPr>
            <w:r>
              <w:rPr>
                <w:rFonts w:hint="eastAsia"/>
                <w:color w:val="FF0000"/>
                <w:sz w:val="21"/>
                <w:szCs w:val="21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1" w:hRule="atLeast"/>
        </w:trPr>
        <w:tc>
          <w:tcPr>
            <w:tcW w:w="1799" w:type="dxa"/>
            <w:vAlign w:val="center"/>
          </w:tcPr>
          <w:p>
            <w:pPr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外部提供的过程、产品和服务的控制</w:t>
            </w:r>
          </w:p>
        </w:tc>
        <w:tc>
          <w:tcPr>
            <w:tcW w:w="845" w:type="dxa"/>
            <w:vAlign w:val="center"/>
          </w:tcPr>
          <w:p>
            <w:pPr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8.4</w:t>
            </w:r>
          </w:p>
        </w:tc>
        <w:tc>
          <w:tcPr>
            <w:tcW w:w="11182" w:type="dxa"/>
            <w:vAlign w:val="center"/>
          </w:tcPr>
          <w:p>
            <w:pPr>
              <w:rPr>
                <w:rFonts w:hint="eastAsia"/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编制了《采购和供方评定控制程序》，明确了根据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车辆运行情况，编制车辆年度维修计划</w:t>
            </w:r>
            <w:r>
              <w:rPr>
                <w:rFonts w:hint="eastAsia"/>
                <w:color w:val="auto"/>
                <w:sz w:val="21"/>
                <w:szCs w:val="21"/>
              </w:rPr>
              <w:t>。对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维修方和中石油进行评价</w:t>
            </w:r>
            <w:r>
              <w:rPr>
                <w:rFonts w:hint="eastAsia"/>
                <w:color w:val="auto"/>
                <w:sz w:val="21"/>
                <w:szCs w:val="21"/>
              </w:rPr>
              <w:t>，内容包括：产品质量、价格及售后服务等内容。经由总经理确认后，纳入公司合格供方。</w:t>
            </w:r>
          </w:p>
          <w:p>
            <w:pPr>
              <w:pStyle w:val="2"/>
              <w:rPr>
                <w:rFonts w:hint="eastAsia"/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编制《供方评价标准》，规定了对选择评价和重新评审供方的方法。通过调查供方的质量保证能力如：经营合法性、产品质量、质量保证能力、价格、服务、质量管理体系等方面进行评价。</w:t>
            </w:r>
          </w:p>
          <w:p>
            <w:pPr>
              <w:pStyle w:val="2"/>
              <w:rPr>
                <w:rFonts w:hint="eastAsia"/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主要采购物资有：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车辆维修保养、货车加油</w:t>
            </w:r>
            <w:r>
              <w:rPr>
                <w:rFonts w:hint="eastAsia"/>
                <w:color w:val="auto"/>
                <w:sz w:val="21"/>
                <w:szCs w:val="21"/>
              </w:rPr>
              <w:t>。</w:t>
            </w:r>
          </w:p>
          <w:p>
            <w:pPr>
              <w:pStyle w:val="2"/>
              <w:rPr>
                <w:rFonts w:hint="eastAsia"/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识别的外包过程：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车辆维修保养</w:t>
            </w:r>
            <w:r>
              <w:rPr>
                <w:rFonts w:hint="eastAsia"/>
                <w:color w:val="auto"/>
                <w:sz w:val="21"/>
                <w:szCs w:val="21"/>
              </w:rPr>
              <w:t>。按照《供方评价标准》进行了评价，并编制了《合格供方名单》。</w:t>
            </w:r>
          </w:p>
          <w:p>
            <w:pPr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提供有《合格供方一览表》</w:t>
            </w:r>
          </w:p>
          <w:p>
            <w:pPr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合格供方名称                        供应产品名称</w:t>
            </w:r>
          </w:p>
          <w:p>
            <w:pPr>
              <w:tabs>
                <w:tab w:val="left" w:pos="4160"/>
              </w:tabs>
              <w:rPr>
                <w:rFonts w:hint="default" w:eastAsia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西安怡昌大象汽车维修有限公司</w:t>
            </w:r>
            <w:r>
              <w:rPr>
                <w:rFonts w:hint="eastAsia"/>
                <w:color w:val="auto"/>
                <w:sz w:val="21"/>
                <w:szCs w:val="21"/>
              </w:rPr>
              <w:t xml:space="preserve">        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车辆维修保养</w:t>
            </w:r>
          </w:p>
          <w:p>
            <w:pPr>
              <w:tabs>
                <w:tab w:val="left" w:pos="3980"/>
              </w:tabs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中石油</w:t>
            </w:r>
            <w:r>
              <w:rPr>
                <w:rFonts w:hint="eastAsia"/>
                <w:color w:val="auto"/>
                <w:sz w:val="21"/>
                <w:szCs w:val="21"/>
              </w:rPr>
              <w:tab/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货车加油</w:t>
            </w:r>
          </w:p>
          <w:p>
            <w:pPr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202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/>
                <w:color w:val="auto"/>
                <w:sz w:val="21"/>
                <w:szCs w:val="21"/>
              </w:rPr>
              <w:t>年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/>
                <w:color w:val="auto"/>
                <w:sz w:val="21"/>
                <w:szCs w:val="21"/>
              </w:rPr>
              <w:t>月1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/>
                <w:color w:val="auto"/>
                <w:sz w:val="21"/>
                <w:szCs w:val="21"/>
              </w:rPr>
              <w:t>日对供方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西安怡昌大象汽车维修有限公司</w:t>
            </w:r>
            <w:r>
              <w:rPr>
                <w:rFonts w:hint="eastAsia"/>
                <w:color w:val="auto"/>
                <w:sz w:val="21"/>
                <w:szCs w:val="21"/>
              </w:rPr>
              <w:t>的调查及评价。评价内容：企业资质、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维修</w:t>
            </w:r>
            <w:r>
              <w:rPr>
                <w:rFonts w:hint="eastAsia"/>
                <w:color w:val="auto"/>
                <w:sz w:val="21"/>
                <w:szCs w:val="21"/>
              </w:rPr>
              <w:t>能力、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服务</w:t>
            </w:r>
            <w:r>
              <w:rPr>
                <w:rFonts w:hint="eastAsia"/>
                <w:color w:val="auto"/>
                <w:sz w:val="21"/>
                <w:szCs w:val="21"/>
              </w:rPr>
              <w:t>质量、价格等；符合要求。</w:t>
            </w:r>
          </w:p>
          <w:p>
            <w:pPr>
              <w:spacing w:line="360" w:lineRule="auto"/>
              <w:rPr>
                <w:rFonts w:hint="eastAsia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auto"/>
                <w:sz w:val="21"/>
                <w:szCs w:val="21"/>
              </w:rPr>
              <w:t>根据</w:t>
            </w:r>
            <w:r>
              <w:rPr>
                <w:rFonts w:hint="eastAsia" w:ascii="宋体" w:hAnsi="宋体" w:cs="宋体"/>
                <w:bCs/>
                <w:color w:val="auto"/>
                <w:sz w:val="21"/>
                <w:szCs w:val="21"/>
                <w:lang w:val="en-US" w:eastAsia="zh-CN"/>
              </w:rPr>
              <w:t>车辆的行驶情况</w:t>
            </w:r>
            <w:r>
              <w:rPr>
                <w:rFonts w:hint="eastAsia" w:ascii="宋体" w:hAnsi="宋体" w:eastAsia="宋体" w:cs="宋体"/>
                <w:bCs/>
                <w:color w:val="auto"/>
                <w:sz w:val="21"/>
                <w:szCs w:val="21"/>
              </w:rPr>
              <w:t>，编制</w:t>
            </w:r>
            <w:r>
              <w:rPr>
                <w:rFonts w:hint="eastAsia" w:ascii="宋体" w:hAnsi="宋体" w:cs="宋体"/>
                <w:bCs/>
                <w:color w:val="auto"/>
                <w:sz w:val="21"/>
                <w:szCs w:val="21"/>
                <w:lang w:val="en-US" w:eastAsia="zh-CN"/>
              </w:rPr>
              <w:t>车辆年度维修保养</w:t>
            </w:r>
            <w:r>
              <w:rPr>
                <w:rFonts w:hint="eastAsia" w:ascii="宋体" w:hAnsi="宋体" w:eastAsia="宋体" w:cs="宋体"/>
                <w:bCs/>
                <w:color w:val="auto"/>
                <w:sz w:val="21"/>
                <w:szCs w:val="21"/>
              </w:rPr>
              <w:t>计划，经批准实施</w:t>
            </w:r>
            <w:r>
              <w:rPr>
                <w:rFonts w:hint="eastAsia" w:ascii="宋体" w:hAnsi="宋体" w:cs="宋体"/>
                <w:bCs/>
                <w:color w:val="auto"/>
                <w:sz w:val="21"/>
                <w:szCs w:val="21"/>
                <w:lang w:val="en-US" w:eastAsia="zh-CN"/>
              </w:rPr>
              <w:t>维修</w:t>
            </w:r>
            <w:r>
              <w:rPr>
                <w:rFonts w:hint="eastAsia" w:ascii="宋体" w:hAnsi="宋体" w:eastAsia="宋体" w:cs="宋体"/>
                <w:bCs/>
                <w:color w:val="auto"/>
                <w:sz w:val="21"/>
                <w:szCs w:val="21"/>
              </w:rPr>
              <w:t>。公司已建立、保持与合格供方信息反馈渠道，及时沟通、保持协调，有良好的互惠关系；采购信息充分、可靠，采购产品的要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求明确、适宜（包括品名、规格、数量、交付期、价格等）；</w:t>
            </w:r>
          </w:p>
          <w:p>
            <w:pPr>
              <w:rPr>
                <w:rFonts w:hint="eastAsia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查看与西安怡昌大象汽车维修有限公司签订的维修合同。</w:t>
            </w:r>
          </w:p>
          <w:p>
            <w:pPr>
              <w:pStyle w:val="2"/>
              <w:rPr>
                <w:rFonts w:hint="eastAsia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eastAsia="宋体"/>
                <w:color w:val="auto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4612005</wp:posOffset>
                  </wp:positionH>
                  <wp:positionV relativeFrom="paragraph">
                    <wp:posOffset>214630</wp:posOffset>
                  </wp:positionV>
                  <wp:extent cx="2239645" cy="3103880"/>
                  <wp:effectExtent l="0" t="0" r="8255" b="7620"/>
                  <wp:wrapNone/>
                  <wp:docPr id="7" name="图片 7" descr="abdd8195f83bdce9e486d187816286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abdd8195f83bdce9e486d187816286c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645" cy="3103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eastAsia="宋体"/>
                <w:color w:val="auto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2245360</wp:posOffset>
                  </wp:positionH>
                  <wp:positionV relativeFrom="paragraph">
                    <wp:posOffset>189865</wp:posOffset>
                  </wp:positionV>
                  <wp:extent cx="2232025" cy="3156585"/>
                  <wp:effectExtent l="0" t="0" r="3175" b="5715"/>
                  <wp:wrapNone/>
                  <wp:docPr id="9" name="图片 9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25" cy="315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189865</wp:posOffset>
                  </wp:positionV>
                  <wp:extent cx="2240915" cy="3168015"/>
                  <wp:effectExtent l="0" t="0" r="6985" b="6985"/>
                  <wp:wrapNone/>
                  <wp:docPr id="6" name="图片 6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915" cy="316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2"/>
              <w:rPr>
                <w:rFonts w:hint="eastAsia"/>
                <w:color w:val="auto"/>
                <w:sz w:val="21"/>
                <w:szCs w:val="21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color w:val="auto"/>
                <w:sz w:val="21"/>
                <w:szCs w:val="21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color w:val="auto"/>
                <w:sz w:val="21"/>
                <w:szCs w:val="21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color w:val="auto"/>
                <w:sz w:val="21"/>
                <w:szCs w:val="21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color w:val="auto"/>
                <w:sz w:val="21"/>
                <w:szCs w:val="21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color w:val="auto"/>
                <w:sz w:val="21"/>
                <w:szCs w:val="21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color w:val="auto"/>
                <w:sz w:val="21"/>
                <w:szCs w:val="21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color w:val="auto"/>
                <w:sz w:val="21"/>
                <w:szCs w:val="21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color w:val="auto"/>
                <w:sz w:val="21"/>
                <w:szCs w:val="21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color w:val="auto"/>
                <w:sz w:val="21"/>
                <w:szCs w:val="21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color w:val="auto"/>
                <w:sz w:val="21"/>
                <w:szCs w:val="21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color w:val="auto"/>
                <w:sz w:val="21"/>
                <w:szCs w:val="21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color w:val="auto"/>
                <w:sz w:val="21"/>
                <w:szCs w:val="21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color w:val="auto"/>
                <w:sz w:val="21"/>
                <w:szCs w:val="21"/>
                <w:lang w:val="en-US" w:eastAsia="zh-CN"/>
              </w:rPr>
            </w:pPr>
          </w:p>
          <w:p>
            <w:pPr>
              <w:tabs>
                <w:tab w:val="center" w:pos="3229"/>
              </w:tabs>
              <w:rPr>
                <w:rFonts w:hint="default" w:eastAsia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查看了车辆的维修保养记录详见7.1.3条款。</w:t>
            </w:r>
          </w:p>
          <w:p>
            <w:pPr>
              <w:pStyle w:val="2"/>
              <w:ind w:firstLine="460" w:firstLineChars="200"/>
              <w:rPr>
                <w:rFonts w:hint="eastAsia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1986915</wp:posOffset>
                  </wp:positionH>
                  <wp:positionV relativeFrom="paragraph">
                    <wp:posOffset>244475</wp:posOffset>
                  </wp:positionV>
                  <wp:extent cx="2026285" cy="2653030"/>
                  <wp:effectExtent l="0" t="0" r="5715" b="1270"/>
                  <wp:wrapNone/>
                  <wp:docPr id="10" name="图片 10" descr="石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石油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285" cy="2653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企业与中石油办理加油卡，所有车辆加油统一在中石油，办理了加油卡，企业由办公室管理加油主卡，副卡由各个司机持有。</w:t>
            </w:r>
          </w:p>
          <w:p>
            <w:pPr>
              <w:pStyle w:val="2"/>
              <w:ind w:firstLine="460" w:firstLineChars="200"/>
              <w:rPr>
                <w:rFonts w:hint="eastAsia"/>
                <w:color w:val="auto"/>
                <w:sz w:val="21"/>
                <w:szCs w:val="21"/>
                <w:lang w:val="en-US" w:eastAsia="zh-CN"/>
              </w:rPr>
            </w:pPr>
          </w:p>
          <w:p>
            <w:pPr>
              <w:pStyle w:val="2"/>
              <w:ind w:firstLine="460" w:firstLineChars="200"/>
              <w:rPr>
                <w:rFonts w:hint="eastAsia"/>
                <w:color w:val="auto"/>
                <w:sz w:val="21"/>
                <w:szCs w:val="21"/>
                <w:lang w:val="en-US" w:eastAsia="zh-CN"/>
              </w:rPr>
            </w:pPr>
          </w:p>
          <w:p>
            <w:pPr>
              <w:pStyle w:val="2"/>
              <w:ind w:firstLine="460" w:firstLineChars="200"/>
              <w:rPr>
                <w:rFonts w:hint="eastAsia"/>
                <w:color w:val="auto"/>
                <w:sz w:val="21"/>
                <w:szCs w:val="21"/>
                <w:lang w:val="en-US" w:eastAsia="zh-CN"/>
              </w:rPr>
            </w:pPr>
          </w:p>
          <w:p>
            <w:pPr>
              <w:pStyle w:val="2"/>
              <w:ind w:firstLine="460" w:firstLineChars="200"/>
              <w:rPr>
                <w:rFonts w:hint="eastAsia"/>
                <w:color w:val="auto"/>
                <w:sz w:val="21"/>
                <w:szCs w:val="21"/>
                <w:lang w:val="en-US" w:eastAsia="zh-CN"/>
              </w:rPr>
            </w:pPr>
          </w:p>
          <w:p>
            <w:pPr>
              <w:pStyle w:val="2"/>
              <w:ind w:firstLine="460" w:firstLineChars="200"/>
              <w:rPr>
                <w:rFonts w:hint="eastAsia"/>
                <w:color w:val="auto"/>
                <w:sz w:val="21"/>
                <w:szCs w:val="21"/>
                <w:lang w:val="en-US" w:eastAsia="zh-CN"/>
              </w:rPr>
            </w:pPr>
          </w:p>
          <w:p>
            <w:pPr>
              <w:pStyle w:val="2"/>
              <w:ind w:firstLine="460" w:firstLineChars="200"/>
              <w:rPr>
                <w:rFonts w:hint="eastAsia"/>
                <w:color w:val="auto"/>
                <w:sz w:val="21"/>
                <w:szCs w:val="21"/>
                <w:lang w:val="en-US" w:eastAsia="zh-CN"/>
              </w:rPr>
            </w:pPr>
          </w:p>
          <w:p>
            <w:pPr>
              <w:pStyle w:val="2"/>
              <w:ind w:firstLine="460" w:firstLineChars="200"/>
              <w:rPr>
                <w:rFonts w:hint="eastAsia"/>
                <w:color w:val="auto"/>
                <w:sz w:val="21"/>
                <w:szCs w:val="21"/>
                <w:lang w:val="en-US" w:eastAsia="zh-CN"/>
              </w:rPr>
            </w:pPr>
          </w:p>
          <w:p>
            <w:pPr>
              <w:pStyle w:val="2"/>
              <w:ind w:firstLine="460" w:firstLineChars="200"/>
              <w:rPr>
                <w:rFonts w:hint="default"/>
                <w:color w:val="auto"/>
                <w:sz w:val="21"/>
                <w:szCs w:val="21"/>
                <w:lang w:val="en-US" w:eastAsia="zh-CN"/>
              </w:rPr>
            </w:pPr>
          </w:p>
          <w:p>
            <w:pPr>
              <w:pStyle w:val="2"/>
              <w:ind w:firstLine="460" w:firstLineChars="200"/>
              <w:rPr>
                <w:rFonts w:hint="default"/>
                <w:color w:val="auto"/>
                <w:sz w:val="21"/>
                <w:szCs w:val="21"/>
                <w:lang w:val="en-US" w:eastAsia="zh-CN"/>
              </w:rPr>
            </w:pPr>
          </w:p>
          <w:p>
            <w:pPr>
              <w:pStyle w:val="2"/>
              <w:ind w:firstLine="460" w:firstLineChars="200"/>
              <w:rPr>
                <w:rFonts w:hint="default"/>
                <w:color w:val="auto"/>
                <w:sz w:val="21"/>
                <w:szCs w:val="21"/>
                <w:lang w:val="en-US" w:eastAsia="zh-CN"/>
              </w:rPr>
            </w:pPr>
          </w:p>
          <w:p>
            <w:pPr>
              <w:pStyle w:val="2"/>
              <w:ind w:firstLine="460" w:firstLineChars="200"/>
              <w:rPr>
                <w:rFonts w:hint="eastAsia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2564765</wp:posOffset>
                  </wp:positionH>
                  <wp:positionV relativeFrom="paragraph">
                    <wp:posOffset>80645</wp:posOffset>
                  </wp:positionV>
                  <wp:extent cx="2711450" cy="1546860"/>
                  <wp:effectExtent l="0" t="0" r="6350" b="2540"/>
                  <wp:wrapNone/>
                  <wp:docPr id="12" name="图片 12" descr="中石油发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中石油发票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4828" b="90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1450" cy="1546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企业定期到中石油打印正式发票。</w:t>
            </w:r>
          </w:p>
          <w:p>
            <w:pPr>
              <w:pStyle w:val="2"/>
              <w:ind w:firstLine="460" w:firstLineChars="200"/>
              <w:rPr>
                <w:rFonts w:hint="eastAsia"/>
                <w:color w:val="auto"/>
                <w:sz w:val="21"/>
                <w:szCs w:val="21"/>
                <w:lang w:val="en-US" w:eastAsia="zh-CN"/>
              </w:rPr>
            </w:pPr>
          </w:p>
          <w:p>
            <w:pPr>
              <w:pStyle w:val="2"/>
              <w:ind w:firstLine="460" w:firstLineChars="200"/>
              <w:rPr>
                <w:rFonts w:hint="eastAsia"/>
                <w:color w:val="auto"/>
                <w:sz w:val="21"/>
                <w:szCs w:val="21"/>
                <w:lang w:val="en-US" w:eastAsia="zh-CN"/>
              </w:rPr>
            </w:pPr>
          </w:p>
          <w:p>
            <w:pPr>
              <w:pStyle w:val="2"/>
              <w:ind w:firstLine="460" w:firstLineChars="200"/>
              <w:rPr>
                <w:rFonts w:hint="eastAsia"/>
                <w:color w:val="auto"/>
                <w:sz w:val="21"/>
                <w:szCs w:val="21"/>
                <w:lang w:val="en-US" w:eastAsia="zh-CN"/>
              </w:rPr>
            </w:pPr>
          </w:p>
          <w:p>
            <w:pPr>
              <w:pStyle w:val="2"/>
              <w:ind w:firstLine="460" w:firstLineChars="200"/>
              <w:rPr>
                <w:rFonts w:hint="eastAsia"/>
                <w:color w:val="auto"/>
                <w:sz w:val="21"/>
                <w:szCs w:val="21"/>
                <w:lang w:val="en-US" w:eastAsia="zh-CN"/>
              </w:rPr>
            </w:pPr>
          </w:p>
          <w:p>
            <w:pPr>
              <w:pStyle w:val="2"/>
              <w:ind w:firstLine="460" w:firstLineChars="200"/>
              <w:rPr>
                <w:rFonts w:hint="eastAsia"/>
                <w:color w:val="auto"/>
                <w:sz w:val="21"/>
                <w:szCs w:val="21"/>
                <w:lang w:val="en-US" w:eastAsia="zh-CN"/>
              </w:rPr>
            </w:pPr>
          </w:p>
          <w:p>
            <w:pPr>
              <w:pStyle w:val="2"/>
              <w:rPr>
                <w:rFonts w:hint="default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883" w:type="dxa"/>
          </w:tcPr>
          <w:p>
            <w:pPr>
              <w:rPr>
                <w:rFonts w:hint="eastAsia"/>
                <w:sz w:val="21"/>
                <w:szCs w:val="21"/>
              </w:rPr>
            </w:pPr>
          </w:p>
          <w:p>
            <w:pPr>
              <w:rPr>
                <w:rFonts w:hint="eastAsia"/>
                <w:sz w:val="21"/>
                <w:szCs w:val="21"/>
              </w:rPr>
            </w:pPr>
          </w:p>
          <w:p>
            <w:pPr>
              <w:rPr>
                <w:rFonts w:hint="eastAsia"/>
                <w:sz w:val="21"/>
                <w:szCs w:val="21"/>
              </w:rPr>
            </w:pPr>
          </w:p>
          <w:p>
            <w:pPr>
              <w:rPr>
                <w:rFonts w:hint="eastAsia"/>
                <w:sz w:val="21"/>
                <w:szCs w:val="21"/>
              </w:rPr>
            </w:pPr>
          </w:p>
          <w:p>
            <w:pPr>
              <w:rPr>
                <w:rFonts w:hint="eastAsia"/>
                <w:sz w:val="21"/>
                <w:szCs w:val="21"/>
              </w:rPr>
            </w:pPr>
          </w:p>
          <w:p>
            <w:pPr>
              <w:rPr>
                <w:rFonts w:hint="eastAsia"/>
                <w:sz w:val="21"/>
                <w:szCs w:val="21"/>
              </w:rPr>
            </w:pPr>
          </w:p>
          <w:p>
            <w:pPr>
              <w:rPr>
                <w:rFonts w:hint="eastAsia"/>
                <w:sz w:val="21"/>
                <w:szCs w:val="21"/>
              </w:rPr>
            </w:pPr>
          </w:p>
          <w:p>
            <w:pPr>
              <w:rPr>
                <w:rFonts w:hint="eastAsia"/>
                <w:sz w:val="21"/>
                <w:szCs w:val="21"/>
              </w:rPr>
            </w:pPr>
          </w:p>
          <w:p>
            <w:pPr>
              <w:rPr>
                <w:rFonts w:hint="eastAsia"/>
                <w:sz w:val="21"/>
                <w:szCs w:val="21"/>
              </w:rPr>
            </w:pPr>
          </w:p>
          <w:p>
            <w:pPr>
              <w:rPr>
                <w:rFonts w:hint="eastAsia"/>
                <w:sz w:val="21"/>
                <w:szCs w:val="21"/>
              </w:rPr>
            </w:pPr>
          </w:p>
          <w:p>
            <w:pPr>
              <w:rPr>
                <w:rFonts w:hint="eastAsia"/>
                <w:sz w:val="21"/>
                <w:szCs w:val="21"/>
              </w:rPr>
            </w:pPr>
          </w:p>
          <w:p>
            <w:pPr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4" w:hRule="atLeast"/>
        </w:trPr>
        <w:tc>
          <w:tcPr>
            <w:tcW w:w="1799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顾客或外部供方财产</w:t>
            </w:r>
          </w:p>
        </w:tc>
        <w:tc>
          <w:tcPr>
            <w:tcW w:w="845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8.5.3</w:t>
            </w:r>
          </w:p>
        </w:tc>
        <w:tc>
          <w:tcPr>
            <w:tcW w:w="11182" w:type="dxa"/>
            <w:vAlign w:val="top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sym w:font="Wingdings 2" w:char="F098"/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公司质量手册中规定顾客或外部供方财产可能包括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顾客委托运输的物品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、顾客的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信息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、知识产权和个人数据。</w:t>
            </w:r>
            <w:r>
              <w:rPr>
                <w:rFonts w:hint="eastAsia" w:ascii="宋体" w:hAnsi="宋体" w:cs="宋体"/>
                <w:sz w:val="21"/>
                <w:szCs w:val="21"/>
                <w:lang w:eastAsia="zh-CN"/>
              </w:rPr>
              <w:t>市场部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负责接收顾客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信息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，建立顾客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财产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台账。顾客要求时，与顾客签订保密协议，应及时向顾客报告采取措施解决。顾客财产可包括知识产权和个人信息。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sym w:font="Wingdings 2" w:char="F098"/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公司目前无有形的外部供方财产，所保存的外部供方财产为供方的个人信息。公司由</w:t>
            </w:r>
            <w:r>
              <w:rPr>
                <w:rFonts w:hint="eastAsia" w:ascii="宋体" w:hAnsi="宋体" w:cs="宋体"/>
                <w:sz w:val="21"/>
                <w:szCs w:val="21"/>
                <w:lang w:eastAsia="zh-CN"/>
              </w:rPr>
              <w:t>市场部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统一储存保管，防止泄露。</w:t>
            </w:r>
          </w:p>
        </w:tc>
        <w:tc>
          <w:tcPr>
            <w:tcW w:w="883" w:type="dxa"/>
          </w:tcPr>
          <w:p>
            <w:pPr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</w:trPr>
        <w:tc>
          <w:tcPr>
            <w:tcW w:w="1799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交付后活动</w:t>
            </w:r>
          </w:p>
        </w:tc>
        <w:tc>
          <w:tcPr>
            <w:tcW w:w="845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8.5.5</w:t>
            </w:r>
          </w:p>
        </w:tc>
        <w:tc>
          <w:tcPr>
            <w:tcW w:w="11182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查产品交付情况：产品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运输</w:t>
            </w:r>
            <w:r>
              <w:rPr>
                <w:rFonts w:hint="eastAsia"/>
                <w:sz w:val="21"/>
                <w:szCs w:val="21"/>
              </w:rPr>
              <w:t>至客户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要求</w:t>
            </w:r>
            <w:r>
              <w:rPr>
                <w:rFonts w:hint="eastAsia"/>
                <w:sz w:val="21"/>
                <w:szCs w:val="21"/>
              </w:rPr>
              <w:t>处，客户签收，公司通过电话跟踪沟通及定期拜访、客户满意度调查等方式确认交付及交付后服务的满意程度。经查符合要求。</w:t>
            </w:r>
          </w:p>
        </w:tc>
        <w:tc>
          <w:tcPr>
            <w:tcW w:w="883" w:type="dxa"/>
          </w:tcPr>
          <w:p>
            <w:pPr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</w:trPr>
        <w:tc>
          <w:tcPr>
            <w:tcW w:w="1799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顾客满意度</w:t>
            </w:r>
          </w:p>
        </w:tc>
        <w:tc>
          <w:tcPr>
            <w:tcW w:w="845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9.1.2</w:t>
            </w:r>
          </w:p>
        </w:tc>
        <w:tc>
          <w:tcPr>
            <w:tcW w:w="11182" w:type="dxa"/>
            <w:vAlign w:val="center"/>
          </w:tcPr>
          <w:p>
            <w:pPr>
              <w:rPr>
                <w:color w:val="auto"/>
                <w:sz w:val="21"/>
                <w:szCs w:val="21"/>
                <w:lang w:val="zh-CN"/>
              </w:rPr>
            </w:pPr>
            <w:r>
              <w:rPr>
                <w:rFonts w:hint="eastAsia"/>
                <w:sz w:val="21"/>
                <w:szCs w:val="21"/>
                <w:lang w:val="zh-CN"/>
              </w:rPr>
              <w:t>公司</w:t>
            </w:r>
            <w:r>
              <w:rPr>
                <w:rFonts w:hint="eastAsia"/>
                <w:color w:val="auto"/>
                <w:sz w:val="21"/>
                <w:szCs w:val="21"/>
                <w:lang w:val="zh-CN"/>
              </w:rPr>
              <w:t>通过电话，走访等形式，接受顾客反馈，了解顾客顾客满意度信息，发放调查表对顾客满意度进行定量测量。</w:t>
            </w:r>
          </w:p>
          <w:p>
            <w:pPr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  <w:lang w:val="zh-CN"/>
              </w:rPr>
              <w:t>提供“顾客满意度调查表”，调查主要内容：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运输服务</w:t>
            </w:r>
            <w:r>
              <w:rPr>
                <w:rFonts w:hint="eastAsia"/>
                <w:color w:val="auto"/>
                <w:sz w:val="21"/>
                <w:szCs w:val="21"/>
              </w:rPr>
              <w:t>质量、交货期、（服务）改善及其效果等方面的满意程度</w:t>
            </w:r>
            <w:r>
              <w:rPr>
                <w:rFonts w:hint="eastAsia"/>
                <w:color w:val="auto"/>
                <w:sz w:val="21"/>
                <w:szCs w:val="21"/>
                <w:lang w:val="zh-CN"/>
              </w:rPr>
              <w:t>等，</w:t>
            </w:r>
            <w:r>
              <w:rPr>
                <w:rFonts w:hint="eastAsia"/>
                <w:color w:val="auto"/>
                <w:sz w:val="21"/>
                <w:szCs w:val="21"/>
              </w:rPr>
              <w:t>各项得分求平均值得最终结果</w:t>
            </w:r>
            <w:r>
              <w:rPr>
                <w:rFonts w:hint="eastAsia"/>
                <w:color w:val="auto"/>
                <w:sz w:val="21"/>
                <w:szCs w:val="21"/>
                <w:lang w:val="zh-CN"/>
              </w:rPr>
              <w:t>。对顾客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中铁宝桥集团有限公司、西安京西双鹤药业有限公司</w:t>
            </w:r>
            <w:r>
              <w:rPr>
                <w:rFonts w:hint="eastAsia"/>
                <w:color w:val="auto"/>
                <w:sz w:val="21"/>
                <w:szCs w:val="21"/>
                <w:lang w:val="zh-CN"/>
              </w:rPr>
              <w:t>行了满意度调查。</w:t>
            </w:r>
            <w:r>
              <w:rPr>
                <w:rFonts w:hint="eastAsia"/>
                <w:color w:val="auto"/>
                <w:sz w:val="21"/>
                <w:szCs w:val="21"/>
              </w:rPr>
              <w:t>提供顾客满意调查分析。顾客满意度9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5分</w:t>
            </w:r>
            <w:r>
              <w:rPr>
                <w:rFonts w:hint="eastAsia"/>
                <w:color w:val="auto"/>
                <w:sz w:val="21"/>
                <w:szCs w:val="21"/>
              </w:rPr>
              <w:t>。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该结果已提交管理评审。</w:t>
            </w:r>
            <w:bookmarkStart w:id="0" w:name="_GoBack"/>
            <w:bookmarkEnd w:id="0"/>
          </w:p>
        </w:tc>
        <w:tc>
          <w:tcPr>
            <w:tcW w:w="883" w:type="dxa"/>
          </w:tcPr>
          <w:p>
            <w:pPr>
              <w:rPr>
                <w:sz w:val="21"/>
                <w:szCs w:val="21"/>
              </w:rPr>
            </w:pPr>
          </w:p>
        </w:tc>
      </w:tr>
    </w:tbl>
    <w:p>
      <w:r>
        <w:ptab w:relativeTo="margin" w:alignment="center" w:leader="none"/>
      </w:r>
    </w:p>
    <w:p/>
    <w:p/>
    <w:p>
      <w:pPr>
        <w:pStyle w:val="6"/>
      </w:pPr>
      <w:r>
        <w:rPr>
          <w:rFonts w:hint="eastAsia"/>
        </w:rPr>
        <w:t>说明：不符合标注N</w:t>
      </w:r>
    </w:p>
    <w:sectPr>
      <w:headerReference r:id="rId5" w:type="default"/>
      <w:footerReference r:id="rId6" w:type="default"/>
      <w:pgSz w:w="16838" w:h="11906" w:orient="landscape"/>
      <w:pgMar w:top="1440" w:right="1080" w:bottom="1440" w:left="1080" w:header="680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4900"/>
      <w:docPartObj>
        <w:docPartGallery w:val="autotext"/>
      </w:docPartObj>
    </w:sdtPr>
    <w:sdtContent>
      <w:sdt>
        <w:sdtPr>
          <w:id w:val="171357217"/>
          <w:docPartObj>
            <w:docPartGallery w:val="autotext"/>
          </w:docPartObj>
        </w:sdtPr>
        <w:sdtContent>
          <w:p>
            <w:pPr>
              <w:pStyle w:val="6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13"/>
        <w:rFonts w:hint="default"/>
      </w:rPr>
    </w:pPr>
    <w:r>
      <w:pict>
        <v:shape id="_x0000_s4097" o:spid="_x0000_s4097" o:spt="202" type="#_x0000_t202" style="position:absolute;left:0pt;margin-left:620.4pt;margin-top:12.55pt;height:20.2pt;width:102.7pt;z-index:251659264;mso-width-relative:page;mso-height-relative:page;" fillcolor="#FFFFFF" filled="t" stroked="f" coordsize="21600,21600">
          <v:path/>
          <v:fill on="t" color2="#FFFFFF"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hint="eastAsia"/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ISC-B-II-12(05版）</w:t>
                </w:r>
              </w:p>
            </w:txbxContent>
          </v:textbox>
        </v:shape>
      </w:pict>
    </w: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13"/>
        <w:rFonts w:hint="default"/>
      </w:rPr>
      <w:t>北京国标联合认证有限公司</w:t>
    </w:r>
    <w:r>
      <w:rPr>
        <w:rStyle w:val="13"/>
        <w:rFonts w:hint="default"/>
      </w:rPr>
      <w:tab/>
    </w:r>
    <w:r>
      <w:rPr>
        <w:rStyle w:val="13"/>
        <w:rFonts w:hint="default"/>
      </w:rPr>
      <w:tab/>
    </w:r>
    <w:r>
      <w:rPr>
        <w:rStyle w:val="13"/>
        <w:rFonts w:hint="default"/>
      </w:rPr>
      <w:tab/>
    </w:r>
  </w:p>
  <w:p>
    <w:pPr>
      <w:pStyle w:val="7"/>
      <w:pBdr>
        <w:bottom w:val="none" w:color="auto" w:sz="0" w:space="0"/>
      </w:pBdr>
      <w:spacing w:line="320" w:lineRule="exact"/>
      <w:ind w:firstLine="756" w:firstLineChars="400"/>
      <w:jc w:val="left"/>
    </w:pPr>
    <w:r>
      <w:rPr>
        <w:rStyle w:val="13"/>
        <w:rFonts w:hint="default"/>
        <w:w w:val="90"/>
      </w:rPr>
      <w:t>Beijing International Standard united Certification Co.,Ltd.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00C73329"/>
    <w:rsid w:val="04A04386"/>
    <w:rsid w:val="04D1763E"/>
    <w:rsid w:val="05C76F15"/>
    <w:rsid w:val="05E1042D"/>
    <w:rsid w:val="061D5CC0"/>
    <w:rsid w:val="07D5339B"/>
    <w:rsid w:val="08C401C2"/>
    <w:rsid w:val="09C0213C"/>
    <w:rsid w:val="0A1575E9"/>
    <w:rsid w:val="0BB023D2"/>
    <w:rsid w:val="0CCE490C"/>
    <w:rsid w:val="0F2227BC"/>
    <w:rsid w:val="10D91A83"/>
    <w:rsid w:val="114E0F7D"/>
    <w:rsid w:val="122A6EEF"/>
    <w:rsid w:val="139C7563"/>
    <w:rsid w:val="1505004C"/>
    <w:rsid w:val="15E8626A"/>
    <w:rsid w:val="16247C45"/>
    <w:rsid w:val="16960FAC"/>
    <w:rsid w:val="16AA61F6"/>
    <w:rsid w:val="1ECE5AEC"/>
    <w:rsid w:val="1F9803AC"/>
    <w:rsid w:val="2296771B"/>
    <w:rsid w:val="25EF71CB"/>
    <w:rsid w:val="26904A6B"/>
    <w:rsid w:val="26C41100"/>
    <w:rsid w:val="275C7C46"/>
    <w:rsid w:val="286B1E58"/>
    <w:rsid w:val="29571854"/>
    <w:rsid w:val="2A63608A"/>
    <w:rsid w:val="2B957A93"/>
    <w:rsid w:val="2D246D13"/>
    <w:rsid w:val="2E475236"/>
    <w:rsid w:val="30FF6291"/>
    <w:rsid w:val="317602C7"/>
    <w:rsid w:val="360C07A9"/>
    <w:rsid w:val="368A6F17"/>
    <w:rsid w:val="399430B5"/>
    <w:rsid w:val="3A4C4734"/>
    <w:rsid w:val="3A770779"/>
    <w:rsid w:val="3D864BBD"/>
    <w:rsid w:val="3DEC4562"/>
    <w:rsid w:val="40ED34A3"/>
    <w:rsid w:val="42414C0F"/>
    <w:rsid w:val="48010AA9"/>
    <w:rsid w:val="48CE494B"/>
    <w:rsid w:val="49C76086"/>
    <w:rsid w:val="4A0E75B2"/>
    <w:rsid w:val="4C280B92"/>
    <w:rsid w:val="503A35E5"/>
    <w:rsid w:val="507D2991"/>
    <w:rsid w:val="520B348B"/>
    <w:rsid w:val="53940983"/>
    <w:rsid w:val="56F54173"/>
    <w:rsid w:val="57CF2661"/>
    <w:rsid w:val="5B48184F"/>
    <w:rsid w:val="5BF76823"/>
    <w:rsid w:val="5D02548B"/>
    <w:rsid w:val="5EBB452B"/>
    <w:rsid w:val="62583ADE"/>
    <w:rsid w:val="62D547E5"/>
    <w:rsid w:val="64A21A2D"/>
    <w:rsid w:val="667A3C6D"/>
    <w:rsid w:val="67014D2E"/>
    <w:rsid w:val="68395190"/>
    <w:rsid w:val="69AA1821"/>
    <w:rsid w:val="6A7554EE"/>
    <w:rsid w:val="6AC86CFD"/>
    <w:rsid w:val="6B9143EA"/>
    <w:rsid w:val="6E91041D"/>
    <w:rsid w:val="6F6C2F19"/>
    <w:rsid w:val="6F6D39C3"/>
    <w:rsid w:val="71041267"/>
    <w:rsid w:val="72B868C0"/>
    <w:rsid w:val="755423F0"/>
    <w:rsid w:val="77043E82"/>
    <w:rsid w:val="7736084C"/>
    <w:rsid w:val="7744516A"/>
    <w:rsid w:val="785928DB"/>
    <w:rsid w:val="79F96578"/>
    <w:rsid w:val="7C49058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after="200" w:line="276" w:lineRule="auto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3">
    <w:name w:val="heading 2"/>
    <w:basedOn w:val="1"/>
    <w:next w:val="4"/>
    <w:qFormat/>
    <w:uiPriority w:val="99"/>
    <w:pPr>
      <w:keepNext/>
      <w:jc w:val="center"/>
      <w:outlineLvl w:val="1"/>
    </w:pPr>
    <w:rPr>
      <w:rFonts w:ascii="宋体" w:hAnsi="宋体"/>
      <w:b/>
      <w:sz w:val="5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qFormat/>
    <w:uiPriority w:val="0"/>
    <w:pPr>
      <w:spacing w:before="25" w:after="25"/>
    </w:pPr>
    <w:rPr>
      <w:bCs/>
      <w:spacing w:val="10"/>
    </w:rPr>
  </w:style>
  <w:style w:type="paragraph" w:styleId="4">
    <w:name w:val="Normal Indent"/>
    <w:basedOn w:val="1"/>
    <w:qFormat/>
    <w:uiPriority w:val="0"/>
    <w:pPr>
      <w:adjustRightInd w:val="0"/>
      <w:spacing w:line="360" w:lineRule="atLeast"/>
      <w:ind w:left="480"/>
      <w:textAlignment w:val="baseline"/>
    </w:pPr>
    <w:rPr>
      <w:kern w:val="0"/>
    </w:rPr>
  </w:style>
  <w:style w:type="paragraph" w:styleId="5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0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0">
    <w:name w:val="页眉 字符"/>
    <w:basedOn w:val="9"/>
    <w:link w:val="7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页脚 字符"/>
    <w:basedOn w:val="9"/>
    <w:link w:val="6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2">
    <w:name w:val="批注框文本 字符"/>
    <w:basedOn w:val="9"/>
    <w:link w:val="5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3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0.jpeg"/><Relationship Id="rId15" Type="http://schemas.openxmlformats.org/officeDocument/2006/relationships/image" Target="media/image9.pn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</Words>
  <Characters>126</Characters>
  <Lines>1</Lines>
  <Paragraphs>1</Paragraphs>
  <TotalTime>1</TotalTime>
  <ScaleCrop>false</ScaleCrop>
  <LinksUpToDate>false</LinksUpToDate>
  <CharactersWithSpaces>147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2015-06-17T12:51:00Z</dcterms:created>
  <dc:creator>微软用户</dc:creator>
  <cp:lastModifiedBy>郭力</cp:lastModifiedBy>
  <dcterms:modified xsi:type="dcterms:W3CDTF">2021-11-23T07:34:36Z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D3CAAF0C7E0143029397B2FF429B15D5</vt:lpwstr>
  </property>
  <property fmtid="{D5CDD505-2E9C-101B-9397-08002B2CF9AE}" pid="3" name="KSOProductBuildVer">
    <vt:lpwstr>2052-11.1.0.11045</vt:lpwstr>
  </property>
</Properties>
</file>