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b/>
          <w:bCs/>
          <w:sz w:val="32"/>
          <w:szCs w:val="32"/>
          <w:u w:val="single"/>
        </w:rPr>
        <w:t>苏州海宏水泥制品有限公司</w:t>
      </w:r>
      <w:bookmarkEnd w:id="1"/>
    </w:p>
    <w:p>
      <w:pPr>
        <w:spacing w:line="360" w:lineRule="auto"/>
        <w:jc w:val="left"/>
        <w:rPr>
          <w:rFonts w:hint="default" w:ascii="宋体" w:hAnsi="宋体" w:eastAsiaTheme="minorEastAsia"/>
          <w:b/>
          <w:bCs/>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b/>
          <w:bCs/>
          <w:sz w:val="32"/>
          <w:u w:val="single"/>
        </w:rPr>
        <w:t>0112-2019-2021</w:t>
      </w:r>
      <w:bookmarkEnd w:id="2"/>
      <w:r>
        <w:rPr>
          <w:rFonts w:hint="eastAsia" w:ascii="宋体" w:hAnsi="宋体"/>
          <w:b/>
          <w:bCs/>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b/>
          <w:bCs/>
          <w:sz w:val="32"/>
          <w:u w:val="single"/>
        </w:rPr>
        <w:t>年度监督审核</w:t>
      </w:r>
      <w:r>
        <w:rPr>
          <w:rFonts w:hint="eastAsia" w:ascii="宋体" w:hAnsi="宋体"/>
          <w:b/>
          <w:bCs/>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0112-2019-2021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苏州海宏水泥制品有限公司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金美娟</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ISC-2019-0539</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2024-11-19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 xml:space="preserve">2021年11月26日 </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2021-M1MMS-2227641</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ascii="宋体" w:hAnsi="宋体"/>
                <w:color w:val="000000"/>
                <w:szCs w:val="21"/>
              </w:rPr>
              <w:t>ISC[S]0062</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ascii="宋体" w:hAnsi="宋体"/>
                <w:szCs w:val="21"/>
              </w:rPr>
              <w:t>袁菊</w:t>
            </w:r>
            <w:r>
              <w:rPr>
                <w:rFonts w:hint="eastAsia" w:ascii="宋体" w:hAnsi="宋体"/>
                <w:szCs w:val="21"/>
                <w:lang w:eastAsia="zh-CN"/>
              </w:rPr>
              <w:t>，</w:t>
            </w:r>
            <w:r>
              <w:rPr>
                <w:rFonts w:ascii="宋体" w:hAnsi="宋体"/>
                <w:color w:val="000000"/>
                <w:szCs w:val="21"/>
                <w:shd w:val="clear" w:color="auto" w:fill="auto"/>
              </w:rPr>
              <w:t>2021-M1MMS-2274447</w:t>
            </w:r>
          </w:p>
          <w:p>
            <w:pPr>
              <w:tabs>
                <w:tab w:val="left" w:pos="880"/>
              </w:tabs>
              <w:autoSpaceDE w:val="0"/>
              <w:autoSpaceDN w:val="0"/>
              <w:adjustRightInd w:val="0"/>
              <w:spacing w:before="35" w:line="276" w:lineRule="auto"/>
              <w:ind w:right="161"/>
              <w:rPr>
                <w:rFonts w:ascii="宋体" w:hAnsi="宋体"/>
                <w:color w:val="000000"/>
                <w:szCs w:val="21"/>
                <w:shd w:val="clear" w:color="auto" w:fill="auto"/>
              </w:rPr>
            </w:pPr>
            <w:r>
              <w:rPr>
                <w:rFonts w:hint="eastAsia" w:ascii="宋体" w:hAnsi="宋体"/>
                <w:color w:val="000000"/>
                <w:szCs w:val="21"/>
              </w:rPr>
              <w:t>ISC[S]0258</w:t>
            </w:r>
          </w:p>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jc w:val="center"/>
              <w:rPr>
                <w:rFonts w:hint="eastAsia" w:ascii="宋体" w:hAnsi="宋体" w:cs="宋体"/>
                <w:color w:val="FF0000"/>
                <w:kern w:val="0"/>
                <w:szCs w:val="21"/>
                <w:highlight w:val="none"/>
                <w:lang w:val="en-US" w:eastAsia="zh-CN"/>
              </w:rPr>
            </w:pPr>
            <w:r>
              <w:rPr>
                <w:rFonts w:hint="eastAsia" w:ascii="宋体" w:hAnsi="宋体"/>
                <w:color w:val="auto"/>
                <w:szCs w:val="21"/>
                <w:highlight w:val="none"/>
                <w:lang w:val="en-US" w:eastAsia="zh-CN"/>
              </w:rPr>
              <w:t>管理层/</w:t>
            </w:r>
            <w:r>
              <w:rPr>
                <w:rFonts w:hint="eastAsia" w:ascii="宋体" w:hAnsi="宋体"/>
                <w:color w:val="auto"/>
                <w:szCs w:val="21"/>
                <w:highlight w:val="none"/>
              </w:rPr>
              <w:t>管理者代表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技术部</w:t>
            </w:r>
            <w:r>
              <w:rPr>
                <w:rFonts w:hint="eastAsia" w:ascii="宋体" w:hAnsi="宋体" w:cs="宋体"/>
                <w:kern w:val="0"/>
                <w:szCs w:val="21"/>
                <w:highlight w:val="none"/>
                <w:lang w:val="en-US" w:eastAsia="zh-CN"/>
              </w:rPr>
              <w:t>、</w:t>
            </w:r>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s="宋体"/>
                <w:color w:val="auto"/>
                <w:kern w:val="0"/>
                <w:szCs w:val="21"/>
                <w:highlight w:val="none"/>
                <w:lang w:val="en-US" w:eastAsia="zh-CN"/>
              </w:rPr>
              <w:t>采购部、销售部、生产部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ilvl w:val="0"/>
          <w:numId w:val="0"/>
        </w:numPr>
        <w:spacing w:line="360" w:lineRule="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1.一年内违反法律法规或重大事故的情况：</w:t>
      </w:r>
    </w:p>
    <w:p>
      <w:pPr>
        <w:widowControl/>
        <w:numPr>
          <w:ilvl w:val="0"/>
          <w:numId w:val="0"/>
        </w:num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 xml:space="preserve">1.1 </w:t>
      </w:r>
      <w:r>
        <w:rPr>
          <w:rFonts w:hint="eastAsia" w:asciiTheme="majorEastAsia" w:hAnsiTheme="majorEastAsia" w:eastAsiaTheme="majorEastAsia" w:cstheme="majorEastAsia"/>
          <w:bCs/>
          <w:color w:val="auto"/>
          <w:kern w:val="0"/>
          <w:sz w:val="24"/>
          <w:szCs w:val="24"/>
          <w:highlight w:val="none"/>
        </w:rPr>
        <w:t>公司测量管理体系</w:t>
      </w:r>
      <w:r>
        <w:rPr>
          <w:rFonts w:hint="eastAsia" w:asciiTheme="majorEastAsia" w:hAnsiTheme="majorEastAsia" w:eastAsiaTheme="majorEastAsia" w:cstheme="majorEastAsia"/>
          <w:bCs/>
          <w:color w:val="auto"/>
          <w:kern w:val="0"/>
          <w:sz w:val="24"/>
          <w:szCs w:val="24"/>
          <w:highlight w:val="none"/>
          <w:lang w:val="en-US" w:eastAsia="zh-CN"/>
        </w:rPr>
        <w:t>通过</w:t>
      </w:r>
      <w:r>
        <w:rPr>
          <w:rFonts w:hint="eastAsia" w:asciiTheme="majorEastAsia" w:hAnsiTheme="majorEastAsia" w:eastAsiaTheme="majorEastAsia" w:cstheme="majorEastAsia"/>
          <w:bCs/>
          <w:color w:val="auto"/>
          <w:kern w:val="0"/>
          <w:sz w:val="24"/>
          <w:szCs w:val="24"/>
          <w:highlight w:val="none"/>
        </w:rPr>
        <w:t>认证后，</w:t>
      </w:r>
      <w:r>
        <w:rPr>
          <w:rFonts w:hint="eastAsia" w:ascii="宋体" w:hAnsi="宋体" w:eastAsia="宋体" w:cs="宋体"/>
          <w:bCs/>
          <w:color w:val="auto"/>
          <w:kern w:val="0"/>
          <w:sz w:val="24"/>
          <w:szCs w:val="24"/>
          <w:highlight w:val="none"/>
          <w:lang w:val="en-US" w:eastAsia="zh-CN"/>
        </w:rPr>
        <w:t>一年来企业</w:t>
      </w:r>
      <w:r>
        <w:rPr>
          <w:rFonts w:hint="eastAsia" w:ascii="宋体" w:hAnsi="宋体" w:eastAsia="宋体" w:cs="宋体"/>
          <w:bCs/>
          <w:color w:val="auto"/>
          <w:kern w:val="0"/>
          <w:sz w:val="24"/>
          <w:szCs w:val="24"/>
          <w:highlight w:val="none"/>
        </w:rPr>
        <w:t>重点</w:t>
      </w:r>
      <w:r>
        <w:rPr>
          <w:rFonts w:hint="eastAsia" w:ascii="宋体" w:hAnsi="宋体" w:eastAsia="宋体" w:cs="宋体"/>
          <w:bCs/>
          <w:color w:val="auto"/>
          <w:kern w:val="0"/>
          <w:sz w:val="24"/>
          <w:szCs w:val="24"/>
          <w:highlight w:val="none"/>
          <w:lang w:val="en-US" w:eastAsia="zh-CN"/>
        </w:rPr>
        <w:t>关注</w:t>
      </w:r>
      <w:r>
        <w:rPr>
          <w:rFonts w:hint="eastAsia" w:ascii="宋体" w:hAnsi="宋体" w:eastAsia="宋体" w:cs="宋体"/>
          <w:bCs/>
          <w:color w:val="auto"/>
          <w:kern w:val="0"/>
          <w:sz w:val="24"/>
          <w:szCs w:val="24"/>
          <w:highlight w:val="none"/>
        </w:rPr>
        <w:t>原材料检验、产品出厂检验等测量过程及测量设备量值溯源。</w:t>
      </w:r>
      <w:r>
        <w:rPr>
          <w:rFonts w:hint="eastAsia" w:ascii="宋体" w:hAnsi="宋体" w:eastAsia="宋体" w:cs="宋体"/>
          <w:bCs/>
          <w:color w:val="auto"/>
          <w:kern w:val="0"/>
          <w:sz w:val="24"/>
          <w:szCs w:val="24"/>
          <w:highlight w:val="none"/>
          <w:lang w:val="en-US" w:eastAsia="zh-CN"/>
        </w:rPr>
        <w:t>企业</w:t>
      </w:r>
      <w:r>
        <w:rPr>
          <w:rFonts w:hint="eastAsia" w:ascii="宋体" w:hAnsi="宋体" w:eastAsia="宋体" w:cs="宋体"/>
          <w:bCs/>
          <w:color w:val="auto"/>
          <w:kern w:val="0"/>
          <w:sz w:val="24"/>
          <w:szCs w:val="24"/>
          <w:highlight w:val="none"/>
        </w:rPr>
        <w:t>测量设备</w:t>
      </w:r>
      <w:r>
        <w:rPr>
          <w:rFonts w:hint="eastAsia" w:ascii="宋体" w:hAnsi="宋体" w:eastAsia="宋体" w:cs="宋体"/>
          <w:bCs/>
          <w:color w:val="auto"/>
          <w:kern w:val="0"/>
          <w:sz w:val="24"/>
          <w:szCs w:val="24"/>
          <w:highlight w:val="none"/>
          <w:lang w:val="en-US" w:eastAsia="zh-CN"/>
        </w:rPr>
        <w:t>按照检定/校准计划</w:t>
      </w:r>
      <w:r>
        <w:rPr>
          <w:rFonts w:hint="eastAsia" w:ascii="宋体" w:hAnsi="宋体" w:eastAsia="宋体" w:cs="宋体"/>
          <w:bCs/>
          <w:color w:val="auto"/>
          <w:kern w:val="0"/>
          <w:sz w:val="24"/>
          <w:szCs w:val="24"/>
          <w:highlight w:val="none"/>
        </w:rPr>
        <w:t>送到有资质的检定/校准机构检定/校准。</w:t>
      </w:r>
      <w:r>
        <w:rPr>
          <w:rFonts w:hint="eastAsia" w:ascii="宋体" w:hAnsi="宋体" w:eastAsia="宋体" w:cs="宋体"/>
          <w:bCs/>
          <w:color w:val="auto"/>
          <w:kern w:val="0"/>
          <w:sz w:val="24"/>
          <w:szCs w:val="24"/>
          <w:highlight w:val="none"/>
          <w:lang w:val="en-US" w:eastAsia="zh-CN"/>
        </w:rPr>
        <w:t>对校准后的测量设备进行验证。对关键测量过程进行</w:t>
      </w:r>
      <w:r>
        <w:rPr>
          <w:rFonts w:hint="eastAsia" w:ascii="宋体" w:hAnsi="宋体" w:eastAsia="宋体" w:cs="宋体"/>
          <w:bCs/>
          <w:color w:val="auto"/>
          <w:kern w:val="0"/>
          <w:sz w:val="24"/>
          <w:szCs w:val="24"/>
          <w:highlight w:val="none"/>
        </w:rPr>
        <w:t>不确定度评定、有效性确认</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对关键测量过程应用统计技术按照规定的监视周期进行</w:t>
      </w:r>
      <w:r>
        <w:rPr>
          <w:rFonts w:hint="eastAsia" w:ascii="宋体" w:hAnsi="宋体" w:eastAsia="宋体" w:cs="宋体"/>
          <w:bCs/>
          <w:color w:val="auto"/>
          <w:kern w:val="0"/>
          <w:sz w:val="24"/>
          <w:szCs w:val="24"/>
          <w:highlight w:val="none"/>
        </w:rPr>
        <w:t>监视与统计</w:t>
      </w:r>
      <w:r>
        <w:rPr>
          <w:rFonts w:hint="eastAsia" w:ascii="宋体" w:hAnsi="宋体" w:eastAsia="宋体" w:cs="宋体"/>
          <w:bCs/>
          <w:color w:val="auto"/>
          <w:kern w:val="0"/>
          <w:sz w:val="24"/>
          <w:szCs w:val="24"/>
          <w:highlight w:val="none"/>
          <w:lang w:eastAsia="zh-CN"/>
        </w:rPr>
        <w:t>。</w:t>
      </w:r>
    </w:p>
    <w:p>
      <w:pPr>
        <w:spacing w:line="360" w:lineRule="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1.2</w:t>
      </w:r>
      <w:r>
        <w:rPr>
          <w:rFonts w:hint="eastAsia" w:ascii="宋体" w:hAnsi="宋体" w:eastAsia="宋体" w:cs="宋体"/>
          <w:bCs/>
          <w:color w:val="auto"/>
          <w:kern w:val="0"/>
          <w:sz w:val="24"/>
          <w:szCs w:val="24"/>
          <w:highlight w:val="none"/>
        </w:rPr>
        <w:t>公司领导层重视测量管理体系各项工作，配备完善了相关资源和设备</w:t>
      </w:r>
      <w:r>
        <w:rPr>
          <w:rFonts w:hint="eastAsia" w:ascii="宋体" w:hAnsi="宋体" w:eastAsia="宋体" w:cs="宋体"/>
          <w:bCs/>
          <w:color w:val="auto"/>
          <w:kern w:val="0"/>
          <w:sz w:val="24"/>
          <w:szCs w:val="24"/>
          <w:highlight w:val="none"/>
          <w:lang w:val="en-US" w:eastAsia="zh-CN"/>
        </w:rPr>
        <w:t>。企业根据测量体系质量方针，</w:t>
      </w:r>
      <w:r>
        <w:rPr>
          <w:rFonts w:hint="eastAsia" w:ascii="宋体" w:hAnsi="宋体" w:eastAsia="宋体" w:cs="宋体"/>
          <w:bCs/>
          <w:color w:val="auto"/>
          <w:kern w:val="0"/>
          <w:sz w:val="24"/>
          <w:szCs w:val="24"/>
          <w:highlight w:val="none"/>
        </w:rPr>
        <w:t>公司制定了</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项质量目标，质量目标有具体考核</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指标可测量，</w:t>
      </w:r>
      <w:r>
        <w:rPr>
          <w:rFonts w:hint="eastAsia" w:ascii="宋体" w:hAnsi="宋体" w:eastAsia="宋体" w:cs="宋体"/>
          <w:bCs/>
          <w:color w:val="auto"/>
          <w:kern w:val="0"/>
          <w:sz w:val="24"/>
          <w:szCs w:val="24"/>
          <w:highlight w:val="none"/>
          <w:lang w:val="en-US" w:eastAsia="zh-CN"/>
        </w:rPr>
        <w:t>质量目标分解到各部门。经统计2021年1月至9月份</w:t>
      </w:r>
      <w:r>
        <w:rPr>
          <w:rFonts w:hint="eastAsia" w:ascii="宋体" w:hAnsi="宋体" w:eastAsia="宋体" w:cs="宋体"/>
          <w:bCs/>
          <w:color w:val="auto"/>
          <w:kern w:val="0"/>
          <w:sz w:val="24"/>
          <w:szCs w:val="24"/>
          <w:highlight w:val="none"/>
        </w:rPr>
        <w:t>质量目标</w:t>
      </w:r>
      <w:r>
        <w:rPr>
          <w:rFonts w:hint="eastAsia" w:ascii="宋体" w:hAnsi="宋体" w:eastAsia="宋体" w:cs="宋体"/>
          <w:bCs/>
          <w:color w:val="auto"/>
          <w:kern w:val="0"/>
          <w:sz w:val="24"/>
          <w:szCs w:val="24"/>
          <w:highlight w:val="none"/>
          <w:lang w:val="en-US" w:eastAsia="zh-CN"/>
        </w:rPr>
        <w:t>全部</w:t>
      </w:r>
      <w:r>
        <w:rPr>
          <w:rFonts w:hint="eastAsia" w:ascii="宋体" w:hAnsi="宋体" w:eastAsia="宋体" w:cs="宋体"/>
          <w:bCs/>
          <w:color w:val="auto"/>
          <w:kern w:val="0"/>
          <w:sz w:val="24"/>
          <w:szCs w:val="24"/>
          <w:highlight w:val="none"/>
        </w:rPr>
        <w:t>完成。</w:t>
      </w:r>
      <w:r>
        <w:rPr>
          <w:rFonts w:hint="eastAsia" w:ascii="宋体" w:hAnsi="宋体" w:eastAsia="宋体" w:cs="宋体"/>
          <w:bCs/>
          <w:color w:val="auto"/>
          <w:kern w:val="0"/>
          <w:sz w:val="24"/>
          <w:szCs w:val="24"/>
          <w:highlight w:val="none"/>
          <w:lang w:val="en-US" w:eastAsia="zh-CN"/>
        </w:rPr>
        <w:t>测量管理体系的符合性、有效性及持续改进，符合GB/T 19022-2003标准要求，公司测量管理体系正常有序运行，较好地满足了公司可持续发展的需要。企业效益逐年提高。</w:t>
      </w:r>
    </w:p>
    <w:p>
      <w:pPr>
        <w:spacing w:line="360" w:lineRule="auto"/>
        <w:rPr>
          <w:rFonts w:hint="eastAsia" w:ascii="宋体" w:hAnsi="宋体" w:eastAsia="宋体" w:cs="宋体"/>
          <w:bCs/>
          <w:color w:val="auto"/>
          <w:kern w:val="0"/>
          <w:sz w:val="24"/>
          <w:szCs w:val="24"/>
          <w:highlight w:val="none"/>
        </w:rPr>
      </w:pP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spacing w:line="276" w:lineRule="auto"/>
        <w:rPr>
          <w:rStyle w:val="9"/>
          <w:rFonts w:hint="eastAsia" w:ascii="宋体" w:eastAsia="宋体"/>
          <w:color w:val="auto"/>
          <w:sz w:val="21"/>
          <w:szCs w:val="21"/>
        </w:rPr>
      </w:pPr>
      <w:r>
        <w:rPr>
          <w:rFonts w:hint="eastAsia" w:asciiTheme="majorEastAsia" w:hAnsiTheme="majorEastAsia" w:eastAsiaTheme="majorEastAsia" w:cstheme="majorEastAsia"/>
          <w:bCs/>
          <w:color w:val="auto"/>
          <w:kern w:val="0"/>
          <w:sz w:val="24"/>
          <w:szCs w:val="24"/>
          <w:highlight w:val="none"/>
          <w:lang w:val="en-US" w:eastAsia="zh-CN"/>
        </w:rPr>
        <w:t>2.1</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公司于2021年9月16日至9月17日组织了公司测量管理体系内部审核，内审分2个组，对公司5个部门和车间进行了审核，本次审核发现1个不符合项，责任单位进行了原因分析，及时组织进行了整改。到目前为止不符合项已全部完成整改。</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2.2企业于2021年10月16日开展了单体系管理评审，会议由公司总经理秦全荣主持，由管理者代表汇报了测量管理体系运行情况。质量部和其他相关职能部门汇报了本部门所做的测量体系相关工作。会议肯定了公司测量管理体系的充分性、有效性和适宜性。形成了管理评审报告。</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3.为持续改进而策划的活动的进展，企业对识别的关键测量过程进行了持续的控制，企业混凝土抗压强度测量过程为关键测量过程，测量过程识别、测量设备配备、检定/校准、验证，测量过程有效性确认，测量不确定度评定、测量过程控制和监视满足要求。企业没有新增关键测量过程。</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a)计量要求的导出和验证：查：混凝土抗压强度测量过程，计量要求导出方法正确，验证满足测量过程要求。祥见附件《计量要求导出及验证记录表》</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b)测量不确定评定：查：混凝土抗压强度测量过程，测量不确定度评定方法正确。祥见附件《测量不确定度评定》</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c)有效性确认：查：混凝土抗压强度测量过程有效性确认，满足要求。祥见附件《测量过程有效性确认》</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d)测量过程的控制：查:混凝土抗压强度测量过程，编制了控制规范，对测量人员、测量设备、测量环境进行控制，满足要求。</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e)测量过程的监视：查:混凝土抗压强度测量过程，采用统计技术进行控制和监视测量过程。祥见《测量过程监视记录》</w:t>
      </w:r>
    </w:p>
    <w:p>
      <w:pPr>
        <w:spacing w:line="360" w:lineRule="auto"/>
        <w:rPr>
          <w:rFonts w:hint="eastAsia" w:asciiTheme="majorEastAsia" w:hAnsiTheme="majorEastAsia" w:eastAsiaTheme="majorEastAsia" w:cstheme="majorEastAsia"/>
          <w:bCs/>
          <w:color w:val="auto"/>
          <w:kern w:val="0"/>
          <w:sz w:val="24"/>
          <w:szCs w:val="24"/>
          <w:highlight w:val="none"/>
          <w:lang w:val="en-US" w:eastAsia="zh-CN"/>
        </w:rPr>
      </w:pPr>
      <w:r>
        <w:rPr>
          <w:rFonts w:hint="eastAsia" w:asciiTheme="majorEastAsia" w:hAnsiTheme="majorEastAsia" w:eastAsiaTheme="majorEastAsia" w:cstheme="majorEastAsia"/>
          <w:bCs/>
          <w:color w:val="auto"/>
          <w:kern w:val="0"/>
          <w:sz w:val="24"/>
          <w:szCs w:val="24"/>
          <w:highlight w:val="none"/>
          <w:lang w:val="en-US" w:eastAsia="zh-CN"/>
        </w:rPr>
        <w:t>f)测量设备的溯源：公司未建最高计量标准，企业测量设备由技术质量部负责组织委外检定/校准。公司测量设备委托</w:t>
      </w:r>
      <w:r>
        <w:rPr>
          <w:rFonts w:hint="eastAsia" w:ascii="宋体" w:hAnsi="宋体" w:eastAsia="宋体" w:cs="宋体"/>
          <w:color w:val="auto"/>
          <w:kern w:val="0"/>
          <w:sz w:val="24"/>
          <w:szCs w:val="24"/>
        </w:rPr>
        <w:t>苏州市吴江区检验检测中心</w:t>
      </w:r>
      <w:r>
        <w:rPr>
          <w:rFonts w:hint="eastAsia" w:asciiTheme="majorEastAsia" w:hAnsiTheme="majorEastAsia" w:eastAsiaTheme="majorEastAsia" w:cstheme="majorEastAsia"/>
          <w:bCs/>
          <w:color w:val="auto"/>
          <w:kern w:val="0"/>
          <w:sz w:val="24"/>
          <w:szCs w:val="24"/>
          <w:highlight w:val="none"/>
          <w:lang w:val="en-US" w:eastAsia="zh-CN"/>
        </w:rPr>
        <w:t>等机构检定/校准，抽查8台测量设备检定/校准证书，溯源满足要求。祥见《测量设备溯源检查表》</w:t>
      </w:r>
    </w:p>
    <w:p>
      <w:pPr>
        <w:spacing w:line="360" w:lineRule="auto"/>
        <w:rPr>
          <w:rFonts w:hint="eastAsia" w:ascii="宋体" w:hAnsi="宋体" w:eastAsia="宋体" w:cs="宋体"/>
          <w:bCs/>
          <w:color w:val="auto"/>
          <w:kern w:val="0"/>
          <w:sz w:val="24"/>
          <w:szCs w:val="24"/>
          <w:lang w:val="en-US" w:eastAsia="zh-CN"/>
        </w:rPr>
      </w:pPr>
    </w:p>
    <w:p>
      <w:pPr>
        <w:spacing w:line="360" w:lineRule="auto"/>
        <w:rPr>
          <w:rFonts w:hint="default" w:ascii="宋体" w:hAnsi="宋体" w:eastAsia="宋体" w:cs="宋体"/>
          <w:bCs/>
          <w:color w:val="auto"/>
          <w:kern w:val="0"/>
          <w:sz w:val="24"/>
          <w:szCs w:val="24"/>
          <w:highlight w:val="yellow"/>
          <w:lang w:val="en-US" w:eastAsia="zh-CN"/>
        </w:rPr>
      </w:pPr>
      <w:r>
        <w:rPr>
          <w:rFonts w:hint="eastAsia" w:ascii="宋体" w:hAnsi="宋体" w:eastAsia="宋体" w:cs="宋体"/>
          <w:bCs/>
          <w:color w:val="auto"/>
          <w:kern w:val="0"/>
          <w:sz w:val="24"/>
          <w:szCs w:val="24"/>
          <w:highlight w:val="none"/>
          <w:lang w:val="en-US" w:eastAsia="zh-CN"/>
        </w:rPr>
        <w:t>4.能源管理情况：</w:t>
      </w:r>
      <w:r>
        <w:rPr>
          <w:rFonts w:hint="eastAsia" w:ascii="宋体" w:hAnsi="宋体" w:cs="宋体"/>
          <w:color w:val="000000"/>
          <w:sz w:val="24"/>
          <w:szCs w:val="24"/>
        </w:rPr>
        <w:t>企业能源主要消耗品种为电能</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水、蒸汽</w:t>
      </w:r>
      <w:r>
        <w:rPr>
          <w:rFonts w:hint="eastAsia" w:ascii="宋体" w:hAnsi="宋体" w:cs="宋体"/>
          <w:color w:val="000000"/>
          <w:sz w:val="24"/>
          <w:szCs w:val="24"/>
        </w:rPr>
        <w:t>，2021年1月至10月累计消耗电量</w:t>
      </w:r>
      <w:r>
        <w:rPr>
          <w:rFonts w:hint="eastAsia" w:ascii="宋体" w:hAnsi="宋体" w:cs="宋体"/>
          <w:color w:val="000000"/>
          <w:sz w:val="24"/>
          <w:szCs w:val="24"/>
          <w:lang w:val="en-US" w:eastAsia="zh-CN"/>
        </w:rPr>
        <w:t>10087033</w:t>
      </w:r>
      <w:r>
        <w:rPr>
          <w:rFonts w:hint="eastAsia" w:ascii="宋体" w:hAnsi="宋体" w:cs="宋体"/>
          <w:color w:val="000000"/>
          <w:sz w:val="24"/>
          <w:szCs w:val="24"/>
        </w:rPr>
        <w:t>kWh，</w:t>
      </w:r>
      <w:r>
        <w:rPr>
          <w:rFonts w:hint="eastAsia" w:ascii="宋体" w:hAnsi="宋体" w:cs="宋体"/>
          <w:color w:val="000000"/>
          <w:sz w:val="24"/>
          <w:szCs w:val="24"/>
          <w:lang w:val="en-US" w:eastAsia="zh-CN"/>
        </w:rPr>
        <w:t>水36993t，蒸汽32030吨，</w:t>
      </w:r>
      <w:r>
        <w:rPr>
          <w:rFonts w:hint="eastAsia" w:ascii="宋体" w:hAnsi="宋体" w:cs="宋体"/>
          <w:color w:val="000000"/>
          <w:sz w:val="24"/>
          <w:szCs w:val="24"/>
        </w:rPr>
        <w:t>折合标准煤</w:t>
      </w:r>
      <w:r>
        <w:rPr>
          <w:rFonts w:hint="eastAsia" w:ascii="宋体" w:hAnsi="宋体" w:cs="宋体"/>
          <w:color w:val="000000"/>
          <w:sz w:val="24"/>
          <w:szCs w:val="24"/>
          <w:lang w:val="en-US" w:eastAsia="zh-CN"/>
        </w:rPr>
        <w:t xml:space="preserve">5361.9 </w:t>
      </w:r>
      <w:r>
        <w:rPr>
          <w:rFonts w:hint="eastAsia" w:ascii="宋体" w:hAnsi="宋体" w:cs="宋体"/>
          <w:color w:val="000000"/>
          <w:sz w:val="24"/>
          <w:szCs w:val="24"/>
        </w:rPr>
        <w:t>tce，不是重点耗能企业。</w:t>
      </w: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highlight w:val="none"/>
        </w:rPr>
        <w:t>5.对认证审核时提出的的不符合项的纠正措施情况：</w:t>
      </w:r>
      <w:r>
        <w:rPr>
          <w:rFonts w:hint="eastAsia" w:ascii="宋体" w:hAnsi="宋体" w:eastAsia="宋体" w:cs="宋体"/>
          <w:bCs/>
          <w:color w:val="auto"/>
          <w:kern w:val="0"/>
          <w:sz w:val="24"/>
          <w:szCs w:val="24"/>
        </w:rPr>
        <w:t> </w:t>
      </w:r>
      <w:bookmarkStart w:id="11" w:name="_GoBack"/>
      <w:bookmarkEnd w:id="11"/>
    </w:p>
    <w:p>
      <w:pPr>
        <w:widowControl/>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 xml:space="preserve">5.1 </w:t>
      </w:r>
      <w:r>
        <w:rPr>
          <w:rFonts w:hint="eastAsia" w:ascii="宋体" w:hAnsi="宋体" w:eastAsia="宋体" w:cs="宋体"/>
          <w:bCs/>
          <w:color w:val="auto"/>
          <w:kern w:val="0"/>
          <w:sz w:val="24"/>
          <w:szCs w:val="24"/>
        </w:rPr>
        <w:t>20</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监督审核未发现</w:t>
      </w:r>
      <w:r>
        <w:rPr>
          <w:rFonts w:hint="eastAsia" w:ascii="宋体" w:hAnsi="宋体" w:eastAsia="宋体" w:cs="宋体"/>
          <w:bCs/>
          <w:color w:val="auto"/>
          <w:kern w:val="0"/>
          <w:sz w:val="24"/>
          <w:szCs w:val="24"/>
        </w:rPr>
        <w:t>不符合项</w:t>
      </w:r>
      <w:r>
        <w:rPr>
          <w:rFonts w:hint="eastAsia" w:ascii="宋体" w:hAnsi="宋体" w:eastAsia="宋体" w:cs="宋体"/>
          <w:bCs/>
          <w:color w:val="auto"/>
          <w:kern w:val="0"/>
          <w:sz w:val="24"/>
          <w:szCs w:val="24"/>
          <w:lang w:eastAsia="zh-CN"/>
        </w:rPr>
        <w:t>。</w:t>
      </w:r>
    </w:p>
    <w:p>
      <w:pPr>
        <w:widowControl/>
        <w:spacing w:line="360" w:lineRule="auto"/>
        <w:ind w:firstLine="480" w:firstLineChars="200"/>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ind w:firstLine="480" w:firstLineChars="200"/>
        <w:rPr>
          <w:rFonts w:hint="eastAsia" w:ascii="宋体" w:hAnsi="宋体"/>
          <w:color w:val="auto"/>
          <w:sz w:val="24"/>
          <w:szCs w:val="24"/>
          <w:lang w:val="en-US" w:eastAsia="zh-CN"/>
        </w:rPr>
      </w:pP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7.测量管理体系在实现获证客户目标方面的有效性及持续的运作控制情况：</w:t>
      </w:r>
    </w:p>
    <w:p>
      <w:pPr>
        <w:widowControl/>
        <w:spacing w:line="36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公司制定了5项质量目标，质量目标有具体考核，指标可测量，质量目标分解到各部门。经统计2021年1月至9月份质量目标全部完成。企业测量体系进一步满足顾客、质量、服务等方面的要求，符合GB/T 19022-2003标准要求。使其更具有动态性和适宜性、有效性及对持续运作的控制。</w:t>
      </w:r>
    </w:p>
    <w:p>
      <w:pPr>
        <w:widowControl/>
        <w:spacing w:line="360" w:lineRule="auto"/>
        <w:rPr>
          <w:rFonts w:hint="eastAsia" w:ascii="宋体" w:hAnsi="宋体" w:eastAsia="宋体" w:cs="宋体"/>
          <w:bCs/>
          <w:color w:val="auto"/>
          <w:kern w:val="0"/>
          <w:sz w:val="24"/>
          <w:szCs w:val="24"/>
          <w:lang w:val="en-US" w:eastAsia="zh-CN"/>
        </w:rPr>
      </w:pP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8.对企业组织任何变更的审核</w:t>
      </w:r>
    </w:p>
    <w:p>
      <w:pPr>
        <w:widowControl/>
        <w:spacing w:line="360" w:lineRule="auto"/>
        <w:ind w:firstLine="480" w:firstLineChars="200"/>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企业营业执照没有变更，企业组织机构没有变更。</w:t>
      </w: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9.标志的使用和（或）任何其他对认证资格引用的情况：</w:t>
      </w:r>
    </w:p>
    <w:p>
      <w:pPr>
        <w:widowControl/>
        <w:spacing w:line="36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公司对标志的使用，符合相关标准和规定。公司测量管理体系认证证书用于：招投标和企业形象宣传。</w:t>
      </w:r>
    </w:p>
    <w:p>
      <w:pPr>
        <w:widowControl/>
        <w:spacing w:line="360" w:lineRule="auto"/>
        <w:ind w:firstLine="480" w:firstLineChars="200"/>
        <w:rPr>
          <w:rFonts w:hint="eastAsia" w:ascii="宋体" w:hAnsi="宋体" w:eastAsia="宋体" w:cs="宋体"/>
          <w:bCs/>
          <w:color w:val="auto"/>
          <w:kern w:val="0"/>
          <w:sz w:val="24"/>
          <w:szCs w:val="24"/>
          <w:lang w:val="en-US" w:eastAsia="zh-CN"/>
        </w:rPr>
      </w:pPr>
    </w:p>
    <w:p>
      <w:pPr>
        <w:widowControl/>
        <w:spacing w:line="360" w:lineRule="auto"/>
        <w:ind w:firstLine="480" w:firstLineChars="200"/>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本次审核未发现一般不符合项 ，未发现严重或系统性的不符合情况。</w:t>
      </w:r>
    </w:p>
    <w:p>
      <w:pPr>
        <w:widowControl/>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26</w:t>
      </w:r>
      <w:r>
        <w:rPr>
          <w:rFonts w:hint="eastAsia" w:cs="宋体" w:asciiTheme="minorEastAsia" w:hAnsiTheme="minorEastAsia"/>
          <w:bCs/>
          <w:color w:val="auto"/>
          <w:kern w:val="0"/>
          <w:sz w:val="24"/>
          <w:szCs w:val="24"/>
        </w:rPr>
        <w:t>日，对</w:t>
      </w:r>
      <w:r>
        <w:rPr>
          <w:rFonts w:hint="eastAsia" w:cs="宋体" w:asciiTheme="minorEastAsia" w:hAnsiTheme="minorEastAsia"/>
          <w:bCs/>
          <w:color w:val="auto"/>
          <w:kern w:val="0"/>
          <w:sz w:val="24"/>
          <w:szCs w:val="24"/>
          <w:lang w:eastAsia="zh-CN"/>
        </w:rPr>
        <w:t>苏州海宏水泥制品有限公司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苏州海宏水泥制品有限公司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0000FF"/>
          <w:kern w:val="0"/>
          <w:sz w:val="24"/>
          <w:szCs w:val="24"/>
        </w:rPr>
      </w:pPr>
      <w:r>
        <w:rPr>
          <w:rFonts w:hint="eastAsia"/>
          <w:color w:val="0000FF"/>
          <w:sz w:val="24"/>
          <w:szCs w:val="24"/>
        </w:rPr>
        <w:drawing>
          <wp:anchor distT="0" distB="0" distL="114300" distR="114300" simplePos="0" relativeHeight="251674624" behindDoc="0" locked="0" layoutInCell="1" allowOverlap="1">
            <wp:simplePos x="0" y="0"/>
            <wp:positionH relativeFrom="column">
              <wp:posOffset>1389380</wp:posOffset>
            </wp:positionH>
            <wp:positionV relativeFrom="paragraph">
              <wp:posOffset>208280</wp:posOffset>
            </wp:positionV>
            <wp:extent cx="614680" cy="385445"/>
            <wp:effectExtent l="0" t="0" r="0" b="5080"/>
            <wp:wrapNone/>
            <wp:docPr id="4"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2021.11.26</w:t>
      </w:r>
    </w:p>
    <w:p>
      <w:pPr>
        <w:widowControl/>
        <w:spacing w:line="360" w:lineRule="auto"/>
        <w:jc w:val="left"/>
        <w:rPr>
          <w:rFonts w:ascii="宋体" w:hAnsi="宋体" w:eastAsia="宋体" w:cs="宋体"/>
          <w:kern w:val="0"/>
          <w:szCs w:val="21"/>
        </w:rPr>
      </w:pPr>
      <w:r>
        <w:rPr>
          <w:rFonts w:hint="eastAsia" w:ascii="宋体" w:hAnsi="宋体" w:eastAsia="宋体"/>
          <w:szCs w:val="21"/>
          <w:lang w:eastAsia="zh-CN"/>
        </w:rPr>
        <w:drawing>
          <wp:anchor distT="0" distB="0" distL="114300" distR="114300" simplePos="0" relativeHeight="251694080" behindDoc="0" locked="0" layoutInCell="1" allowOverlap="1">
            <wp:simplePos x="0" y="0"/>
            <wp:positionH relativeFrom="column">
              <wp:posOffset>1430655</wp:posOffset>
            </wp:positionH>
            <wp:positionV relativeFrom="paragraph">
              <wp:posOffset>260350</wp:posOffset>
            </wp:positionV>
            <wp:extent cx="633095" cy="291465"/>
            <wp:effectExtent l="0" t="0" r="5080" b="3810"/>
            <wp:wrapNone/>
            <wp:docPr id="1" name="图片 1" descr="2fe0e1633fe16412e9f7e0ab26dc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e0e1633fe16412e9f7e0ab26dc397"/>
                    <pic:cNvPicPr>
                      <a:picLocks noChangeAspect="1"/>
                    </pic:cNvPicPr>
                  </pic:nvPicPr>
                  <pic:blipFill>
                    <a:blip r:embed="rId7"/>
                    <a:stretch>
                      <a:fillRect/>
                    </a:stretch>
                  </pic:blipFill>
                  <pic:spPr>
                    <a:xfrm>
                      <a:off x="0" y="0"/>
                      <a:ext cx="633095" cy="29146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000000"/>
          <w:kern w:val="0"/>
          <w:szCs w:val="21"/>
          <w:lang w:val="en-US"/>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kern w:val="0"/>
          <w:szCs w:val="21"/>
          <w:lang w:val="en-US" w:eastAsia="zh-CN"/>
        </w:rPr>
        <w:t>2021.11.26</w:t>
      </w:r>
    </w:p>
    <w:p>
      <w:pPr>
        <w:widowControl/>
        <w:spacing w:line="276" w:lineRule="auto"/>
        <w:ind w:right="945"/>
        <w:jc w:val="left"/>
        <w:rPr>
          <w:rFonts w:ascii="宋体" w:hAnsi="宋体" w:eastAsia="宋体" w:cs="宋体"/>
          <w:kern w:val="0"/>
          <w:szCs w:val="28"/>
        </w:rPr>
      </w:pPr>
    </w:p>
    <w:p>
      <w:pPr>
        <w:widowControl/>
        <w:spacing w:line="276" w:lineRule="auto"/>
        <w:rPr>
          <w:rFonts w:cs="宋体" w:asciiTheme="minorEastAsia" w:hAnsiTheme="minorEastAsia"/>
          <w:bCs/>
          <w:kern w:val="0"/>
          <w:szCs w:val="21"/>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b/>
          <w:bCs/>
          <w:kern w:val="0"/>
          <w:szCs w:val="21"/>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F029E9"/>
    <w:rsid w:val="2CAA5675"/>
    <w:rsid w:val="3A214ADE"/>
    <w:rsid w:val="43095FF9"/>
    <w:rsid w:val="45056665"/>
    <w:rsid w:val="50712341"/>
    <w:rsid w:val="5CB72A8B"/>
    <w:rsid w:val="60E64C4E"/>
    <w:rsid w:val="64D43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WPS_1601433895</cp:lastModifiedBy>
  <cp:lastPrinted>2017-09-01T06:24:00Z</cp:lastPrinted>
  <dcterms:modified xsi:type="dcterms:W3CDTF">2021-11-26T05:51:35Z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