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5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兰州好华齿轮有限责任公司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b/>
                <w:sz w:val="20"/>
              </w:rPr>
              <w:t>22.03.02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汽车齿轮：锻坯—粗车—精车—预磨—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制齿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铣花键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热处理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精磨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配对检查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包装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</w:t>
            </w:r>
          </w:p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机械加工：原材料—图纸划线—铣磨—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编制作业指导书：《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工艺文件</w:t>
            </w:r>
            <w:r>
              <w:rPr>
                <w:rFonts w:hint="eastAsia"/>
                <w:b w:val="0"/>
                <w:bCs/>
                <w:sz w:val="20"/>
              </w:rPr>
              <w:t>》、《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作业指导书</w:t>
            </w:r>
            <w:r>
              <w:rPr>
                <w:rFonts w:hint="eastAsia"/>
                <w:b w:val="0"/>
                <w:bCs/>
                <w:sz w:val="20"/>
              </w:rPr>
              <w:t>》等，作好日常作业监控记录。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关键过程：制齿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特殊过程：热处理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锥齿轮和准双曲面齿轮  精度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 11365-1989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圆柱齿轮  精度制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GB/T10095.1-2008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圆柱直齿渐开线花键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GB/T3478.1-2008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7E710A"/>
    <w:rsid w:val="26E11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2021-11-20T06:41:12Z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