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1198-2021-Q</w:t>
      </w:r>
      <w:bookmarkEnd w:id="0"/>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重庆市润盛利自动化科技有限公司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pStyle w:val="13"/>
        <w:rPr>
          <w:sz w:val="28"/>
          <w:szCs w:val="28"/>
        </w:rPr>
      </w:pPr>
    </w:p>
    <w:p>
      <w:pPr>
        <w:pStyle w:val="13"/>
        <w:rPr>
          <w:sz w:val="28"/>
          <w:szCs w:val="28"/>
        </w:rPr>
      </w:pPr>
    </w:p>
    <w:p>
      <w:pPr>
        <w:pStyle w:val="13"/>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重庆市润盛利自动化科技有限公司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重庆市秀山县乌杨街道园区路21号（县工业园区内周转房D栋6-256号）</w:t>
            </w:r>
            <w:bookmarkEnd w:id="6"/>
          </w:p>
        </w:tc>
        <w:tc>
          <w:tcPr>
            <w:tcW w:w="1242" w:type="dxa"/>
            <w:vMerge w:val="restart"/>
            <w:vAlign w:val="center"/>
          </w:tcPr>
          <w:p>
            <w:r>
              <w:rPr>
                <w:rFonts w:hint="eastAsia"/>
              </w:rPr>
              <w:t>邮编</w:t>
            </w:r>
          </w:p>
        </w:tc>
        <w:tc>
          <w:tcPr>
            <w:tcW w:w="1771" w:type="dxa"/>
          </w:tcPr>
          <w:p>
            <w:bookmarkStart w:id="7" w:name="注册邮编"/>
            <w:r>
              <w:t>404100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重庆钢铁股份有限公司轧钢厂（厂内）</w:t>
            </w:r>
            <w:bookmarkEnd w:id="8"/>
          </w:p>
        </w:tc>
        <w:tc>
          <w:tcPr>
            <w:tcW w:w="1242" w:type="dxa"/>
            <w:vMerge w:val="continue"/>
            <w:vAlign w:val="center"/>
          </w:tcPr>
          <w:p/>
        </w:tc>
        <w:tc>
          <w:tcPr>
            <w:tcW w:w="1771" w:type="dxa"/>
          </w:tcPr>
          <w:p>
            <w:bookmarkStart w:id="9" w:name="办公邮编"/>
            <w:r>
              <w:t>404100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彭建勇</w:t>
            </w:r>
            <w:bookmarkEnd w:id="10"/>
          </w:p>
        </w:tc>
        <w:tc>
          <w:tcPr>
            <w:tcW w:w="1313" w:type="dxa"/>
            <w:vAlign w:val="center"/>
          </w:tcPr>
          <w:p>
            <w:r>
              <w:rPr>
                <w:rFonts w:hint="eastAsia"/>
              </w:rPr>
              <w:t>电话.</w:t>
            </w:r>
          </w:p>
        </w:tc>
        <w:tc>
          <w:tcPr>
            <w:tcW w:w="2180" w:type="dxa"/>
            <w:vAlign w:val="center"/>
          </w:tcPr>
          <w:p>
            <w:bookmarkStart w:id="11" w:name="联系人电话"/>
            <w:r>
              <w:t>13508133911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曾俊华</w:t>
            </w:r>
            <w:bookmarkEnd w:id="13"/>
          </w:p>
        </w:tc>
        <w:tc>
          <w:tcPr>
            <w:tcW w:w="1313" w:type="dxa"/>
            <w:vAlign w:val="center"/>
          </w:tcPr>
          <w:p>
            <w:r>
              <w:rPr>
                <w:rFonts w:hint="eastAsia"/>
              </w:rPr>
              <w:t>管理者代表</w:t>
            </w:r>
          </w:p>
        </w:tc>
        <w:tc>
          <w:tcPr>
            <w:tcW w:w="2180" w:type="dxa"/>
          </w:tcPr>
          <w:p>
            <w:bookmarkStart w:id="14" w:name="管理者代表"/>
            <w:r>
              <w:t>谢宇凌</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rPr>
              <w:sym w:font="Wingdings 2" w:char="0052"/>
            </w:r>
            <w:r>
              <w:rPr>
                <w:rFonts w:hint="eastAsia"/>
                <w:highlight w:val="none"/>
              </w:rPr>
              <w:t>单班□双班□三班□其他</w:t>
            </w: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ascii="Times New Roman" w:hAnsi="Times New Roman" w:eastAsia="宋体" w:cs="Times New Roman"/>
              </w:rPr>
            </w:pPr>
            <w:r>
              <w:rPr>
                <w:rFonts w:hint="eastAsia" w:ascii="Times New Roman" w:hAnsi="Times New Roman" w:eastAsia="宋体" w:cs="Times New Roman"/>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rFonts w:hint="eastAsia" w:ascii="Times New Roman" w:hAnsi="Times New Roman" w:eastAsia="宋体" w:cs="Times New Roman"/>
              </w:rPr>
            </w:pPr>
            <w:r>
              <w:rPr>
                <w:rFonts w:hint="eastAsia" w:ascii="Times New Roman" w:hAnsi="Times New Roman" w:eastAsia="宋体" w:cs="Times New Roman"/>
              </w:rPr>
              <w:t>生产/服务提供流程简图</w:t>
            </w:r>
          </w:p>
          <w:p>
            <w:pPr>
              <w:rPr>
                <w:rFonts w:hint="eastAsia" w:ascii="Times New Roman" w:hAnsi="Times New Roman" w:eastAsia="宋体" w:cs="Times New Roman"/>
              </w:rPr>
            </w:pPr>
          </w:p>
          <w:p>
            <w:pPr>
              <w:rPr>
                <w:rFonts w:hint="eastAsia" w:ascii="Times New Roman" w:hAnsi="Times New Roman" w:eastAsia="宋体" w:cs="Times New Roman"/>
              </w:rPr>
            </w:pPr>
          </w:p>
        </w:tc>
        <w:tc>
          <w:tcPr>
            <w:tcW w:w="8058" w:type="dxa"/>
            <w:gridSpan w:val="5"/>
            <w:shd w:val="clear" w:color="auto" w:fill="auto"/>
          </w:tcPr>
          <w:p>
            <w:pPr>
              <w:rPr>
                <w:rFonts w:hint="eastAsia" w:ascii="Times New Roman" w:hAnsi="Times New Roman" w:eastAsia="宋体" w:cs="Times New Roman"/>
              </w:rPr>
            </w:pPr>
            <w:r>
              <w:rPr>
                <w:rFonts w:hint="eastAsia" w:ascii="Times New Roman" w:hAnsi="Times New Roman" w:eastAsia="宋体" w:cs="Times New Roman"/>
                <w:lang w:val="en-US" w:eastAsia="zh-CN"/>
              </w:rPr>
              <w:t>故障检查——机械、电气维修——更换零配件——调试</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2021年11月20日 上午至2021年11月20日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Theme="minorEastAsia" w:hAnsiTheme="minorEastAsia" w:eastAsiaTheme="minorEastAsia"/>
                <w:sz w:val="20"/>
                <w:lang w:val="en-US" w:eastAsia="zh-CN"/>
              </w:rPr>
              <w:t>重庆市长寿区江南大道2号（重庆钢铁股份有限公司轧钢厂内）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29" w:name="审核范围"/>
            <w:r>
              <w:t>机电设备维修（需资质许可要求的除外）</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18.08.00;19.16.00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ascii="Times New Roman" w:hAnsi="Times New Roman" w:eastAsia="宋体" w:cs="Times New Roman"/>
              </w:rPr>
            </w:pPr>
            <w:r>
              <w:rPr>
                <w:rFonts w:hint="eastAsia" w:ascii="Times New Roman" w:hAnsi="Times New Roman" w:eastAsia="宋体" w:cs="Times New Roman"/>
                <w:lang w:eastAsia="zh-CN"/>
              </w:rPr>
              <w:t>2021年4月10日</w:t>
            </w:r>
          </w:p>
        </w:tc>
        <w:tc>
          <w:tcPr>
            <w:tcW w:w="1883" w:type="dxa"/>
            <w:vAlign w:val="center"/>
          </w:tcPr>
          <w:p>
            <w:pPr>
              <w:rPr>
                <w:rFonts w:hint="eastAsia" w:ascii="Times New Roman" w:hAnsi="Times New Roman" w:eastAsia="宋体" w:cs="Times New Roman"/>
              </w:rPr>
            </w:pPr>
            <w:r>
              <w:rPr>
                <w:rFonts w:hint="eastAsia" w:ascii="Times New Roman" w:hAnsi="Times New Roman" w:eastAsia="宋体" w:cs="Times New Roman"/>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446"/>
        <w:gridCol w:w="10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446" w:type="dxa"/>
            <w:shd w:val="clear" w:color="auto" w:fill="F3F3F3"/>
            <w:tcMar>
              <w:left w:w="57" w:type="dxa"/>
              <w:right w:w="57" w:type="dxa"/>
            </w:tcMar>
          </w:tcPr>
          <w:p>
            <w:r>
              <w:rPr>
                <w:rFonts w:hint="eastAsia"/>
              </w:rPr>
              <w:t>审核范围（产品和过程）</w:t>
            </w:r>
          </w:p>
          <w:p/>
          <w:p/>
        </w:tc>
        <w:tc>
          <w:tcPr>
            <w:tcW w:w="10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重庆市润盛利自动化科技有限公司</w:t>
            </w:r>
            <w:r>
              <w:rPr>
                <w:rFonts w:hint="eastAsia"/>
                <w:sz w:val="21"/>
                <w:szCs w:val="21"/>
                <w:lang w:val="en-US" w:eastAsia="zh-CN"/>
              </w:rPr>
              <w:t>/</w:t>
            </w:r>
            <w:r>
              <w:rPr>
                <w:rFonts w:asciiTheme="minorEastAsia" w:hAnsiTheme="minorEastAsia" w:eastAsiaTheme="minorEastAsia"/>
                <w:sz w:val="20"/>
              </w:rPr>
              <w:t>重庆市秀山县乌杨街道园区路21号（县工业园区内周转房D栋6-256号）</w:t>
            </w:r>
          </w:p>
        </w:tc>
        <w:tc>
          <w:tcPr>
            <w:tcW w:w="2267" w:type="dxa"/>
          </w:tcPr>
          <w:p>
            <w:pPr>
              <w:rPr>
                <w:lang w:val="de-DE" w:eastAsia="ja-JP"/>
              </w:rPr>
            </w:pPr>
            <w:r>
              <w:rPr>
                <w:rFonts w:hint="eastAsia" w:asciiTheme="minorEastAsia" w:hAnsiTheme="minorEastAsia" w:eastAsiaTheme="minorEastAsia"/>
                <w:sz w:val="20"/>
                <w:lang w:val="en-US" w:eastAsia="zh-CN"/>
              </w:rPr>
              <w:t>重庆市长寿区江南大道2号（重庆钢铁股份有限公司轧钢厂内）</w:t>
            </w:r>
          </w:p>
        </w:tc>
        <w:tc>
          <w:tcPr>
            <w:tcW w:w="571" w:type="dxa"/>
            <w:vAlign w:val="center"/>
          </w:tcPr>
          <w:p>
            <w:pPr>
              <w:rPr>
                <w:rFonts w:hint="default" w:eastAsia="宋体"/>
                <w:lang w:val="en-US" w:eastAsia="zh-CN"/>
              </w:rPr>
            </w:pPr>
            <w:r>
              <w:rPr>
                <w:rFonts w:hint="eastAsia"/>
                <w:lang w:val="en-US" w:eastAsia="zh-CN"/>
              </w:rPr>
              <w:t>29</w:t>
            </w:r>
          </w:p>
        </w:tc>
        <w:tc>
          <w:tcPr>
            <w:tcW w:w="2446" w:type="dxa"/>
            <w:vAlign w:val="center"/>
          </w:tcPr>
          <w:p>
            <w:pPr>
              <w:rPr>
                <w:lang w:eastAsia="ja-JP"/>
              </w:rPr>
            </w:pPr>
            <w:r>
              <w:rPr>
                <w:sz w:val="20"/>
              </w:rPr>
              <w:t>机电设备维修（需资质许可要求的除外）</w:t>
            </w:r>
          </w:p>
        </w:tc>
        <w:tc>
          <w:tcPr>
            <w:tcW w:w="1026"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446" w:type="dxa"/>
            <w:vAlign w:val="center"/>
          </w:tcPr>
          <w:p>
            <w:pPr>
              <w:rPr>
                <w:lang w:eastAsia="ja-JP"/>
              </w:rPr>
            </w:pPr>
          </w:p>
        </w:tc>
        <w:tc>
          <w:tcPr>
            <w:tcW w:w="102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李林</w:t>
            </w:r>
          </w:p>
        </w:tc>
        <w:tc>
          <w:tcPr>
            <w:tcW w:w="1089" w:type="dxa"/>
            <w:vAlign w:val="center"/>
          </w:tcPr>
          <w:p>
            <w:r>
              <w:t>组长</w:t>
            </w:r>
          </w:p>
        </w:tc>
        <w:tc>
          <w:tcPr>
            <w:tcW w:w="711" w:type="dxa"/>
            <w:vAlign w:val="center"/>
          </w:tcPr>
          <w:p>
            <w:r>
              <w:t>男</w:t>
            </w:r>
          </w:p>
        </w:tc>
        <w:tc>
          <w:tcPr>
            <w:tcW w:w="3870" w:type="dxa"/>
            <w:vAlign w:val="center"/>
          </w:tcPr>
          <w:p>
            <w:r>
              <w:t>2019-N1QMS-1242345</w:t>
            </w:r>
          </w:p>
        </w:tc>
        <w:tc>
          <w:tcPr>
            <w:tcW w:w="2179" w:type="dxa"/>
            <w:vAlign w:val="center"/>
          </w:tcPr>
          <w:p>
            <w:r>
              <w:t>18.08.00,19.16.00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组员</w:t>
            </w:r>
          </w:p>
        </w:tc>
        <w:tc>
          <w:tcPr>
            <w:tcW w:w="711" w:type="dxa"/>
            <w:vAlign w:val="center"/>
          </w:tcPr>
          <w:p>
            <w:r>
              <w:t>男</w:t>
            </w:r>
          </w:p>
        </w:tc>
        <w:tc>
          <w:tcPr>
            <w:tcW w:w="3870" w:type="dxa"/>
            <w:vAlign w:val="center"/>
          </w:tcPr>
          <w:p>
            <w:r>
              <w:t>2020-N1QMS-1247783</w:t>
            </w:r>
          </w:p>
        </w:tc>
        <w:tc>
          <w:tcPr>
            <w:tcW w:w="2179" w:type="dxa"/>
            <w:vAlign w:val="center"/>
          </w:tcPr>
          <w:p>
            <w:r>
              <w:t>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未出现同类情况发生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机电设备维修（需资质许可要求的除外）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4"/>
              </w:rPr>
              <w:drawing>
                <wp:inline distT="0" distB="0" distL="114300" distR="114300">
                  <wp:extent cx="508635" cy="254635"/>
                  <wp:effectExtent l="0" t="0" r="5715" b="12065"/>
                  <wp:docPr id="1" name="图片 1" descr="李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
                          <pic:cNvPicPr>
                            <a:picLocks noChangeAspect="1"/>
                          </pic:cNvPicPr>
                        </pic:nvPicPr>
                        <pic:blipFill>
                          <a:blip r:embed="rId6"/>
                          <a:stretch>
                            <a:fillRect/>
                          </a:stretch>
                        </pic:blipFill>
                        <pic:spPr>
                          <a:xfrm>
                            <a:off x="0" y="0"/>
                            <a:ext cx="508635" cy="254635"/>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2021年11月20日</w:t>
            </w:r>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before="40" w:after="40"/>
        <w:rPr>
          <w:rFonts w:eastAsia="微软雅黑"/>
        </w:rPr>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52"/>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52"/>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52"/>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A3"/>
            </w:r>
            <w:r>
              <w:rPr>
                <w:rFonts w:hint="eastAsia"/>
              </w:rPr>
              <w:t>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keepNext w:val="0"/>
              <w:keepLines w:val="0"/>
              <w:pageBreakBefore w:val="0"/>
              <w:kinsoku/>
              <w:wordWrap/>
              <w:overflowPunct/>
              <w:topLinePunct w:val="0"/>
              <w:bidi w:val="0"/>
              <w:spacing w:line="24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最高管理者制定了文件化的管理体系方针： 诚实守信，客户至上；真诚合作，实现双赢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市场竞争大，服务质量不满足要求的话容易失去竞标机会</w:t>
                  </w:r>
                </w:p>
              </w:tc>
              <w:tc>
                <w:tcPr>
                  <w:tcW w:w="3965"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提升公司服务意识和管理，通过网络学习先进的派遣知识</w:t>
                  </w:r>
                </w:p>
              </w:tc>
              <w:tc>
                <w:tcPr>
                  <w:tcW w:w="1717" w:type="dxa"/>
                </w:tcPr>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1、由</w:t>
                  </w:r>
                  <w:r>
                    <w:rPr>
                      <w:rFonts w:hint="eastAsia" w:cs="Times New Roman"/>
                      <w:b w:val="0"/>
                      <w:bCs w:val="0"/>
                      <w:lang w:val="en-US" w:eastAsia="zh-CN"/>
                    </w:rPr>
                    <w:t>经营部</w:t>
                  </w:r>
                  <w:r>
                    <w:rPr>
                      <w:rFonts w:hint="eastAsia" w:ascii="Times New Roman" w:hAnsi="Times New Roman" w:eastAsia="宋体" w:cs="Times New Roman"/>
                      <w:b w:val="0"/>
                      <w:bCs w:val="0"/>
                      <w:lang w:val="en-US" w:eastAsia="zh-CN"/>
                    </w:rPr>
                    <w:t>人员每个月对收集信息进行评价并整理</w:t>
                  </w:r>
                </w:p>
                <w:p>
                  <w:pPr>
                    <w:shd w:val="clear" w:color="auto" w:fill="C7DAF1" w:themeFill="text2" w:themeFillTint="32"/>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2、组织评价信息有效性</w:t>
                  </w:r>
                </w:p>
                <w:p>
                  <w:pPr>
                    <w:shd w:val="clear" w:color="auto" w:fill="C7DAF1" w:themeFill="text2" w:themeFillTint="32"/>
                    <w:rPr>
                      <w:rFonts w:hint="eastAsia" w:ascii="Times New Roman" w:hAnsi="Times New Roman" w:eastAsia="宋体" w:cs="Times New Roman"/>
                      <w:b w:val="0"/>
                      <w:bCs w:val="0"/>
                      <w:lang w:val="en-US" w:eastAsia="zh-CN"/>
                    </w:rPr>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szCs w:val="18"/>
                      <w:highlight w:val="none"/>
                      <w:lang w:val="en-US" w:eastAsia="zh-CN"/>
                    </w:rPr>
                    <w:t>维修服务处理率达到100%</w:t>
                  </w:r>
                </w:p>
              </w:tc>
              <w:tc>
                <w:tcPr>
                  <w:tcW w:w="3136" w:type="dxa"/>
                  <w:shd w:val="clear" w:color="auto" w:fill="auto"/>
                  <w:vAlign w:val="center"/>
                </w:tcPr>
                <w:p>
                  <w:pPr>
                    <w:jc w:val="center"/>
                    <w:rPr>
                      <w:rFonts w:hint="eastAsia" w:ascii="宋体" w:hAnsi="宋体" w:eastAsia="宋体" w:cs="宋体"/>
                      <w:kern w:val="2"/>
                      <w:sz w:val="21"/>
                      <w:szCs w:val="21"/>
                      <w:lang w:val="en-GB" w:eastAsia="zh-CN" w:bidi="ar-SA"/>
                    </w:rPr>
                  </w:pPr>
                  <w:r>
                    <w:rPr>
                      <w:rFonts w:hint="eastAsia" w:ascii="宋体" w:hAnsi="宋体"/>
                      <w:color w:val="000000"/>
                      <w:sz w:val="18"/>
                      <w:szCs w:val="18"/>
                      <w:lang w:val="en-US" w:eastAsia="zh-CN"/>
                    </w:rPr>
                    <w:t>维修服务处理</w:t>
                  </w:r>
                  <w:r>
                    <w:rPr>
                      <w:rFonts w:hint="eastAsia" w:ascii="宋体" w:hAnsi="宋体"/>
                      <w:color w:val="000000"/>
                      <w:sz w:val="18"/>
                      <w:szCs w:val="18"/>
                      <w:lang w:eastAsia="zh-CN"/>
                    </w:rPr>
                    <w:t>数/</w:t>
                  </w:r>
                  <w:r>
                    <w:rPr>
                      <w:rFonts w:hint="eastAsia" w:ascii="宋体" w:hAnsi="宋体"/>
                      <w:color w:val="000000"/>
                      <w:sz w:val="18"/>
                      <w:szCs w:val="18"/>
                      <w:lang w:val="en-US" w:eastAsia="zh-CN"/>
                    </w:rPr>
                    <w:t>服务总</w:t>
                  </w:r>
                  <w:r>
                    <w:rPr>
                      <w:rFonts w:hint="eastAsia" w:ascii="宋体" w:hAnsi="宋体"/>
                      <w:color w:val="000000"/>
                      <w:sz w:val="18"/>
                      <w:szCs w:val="18"/>
                      <w:lang w:eastAsia="zh-CN"/>
                    </w:rPr>
                    <w:t>数×100%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eastAsia="宋体"/>
                      <w:lang w:val="en-US" w:eastAsia="zh-CN"/>
                    </w:rPr>
                    <w:t>维修部</w:t>
                  </w:r>
                </w:p>
              </w:tc>
              <w:tc>
                <w:tcPr>
                  <w:tcW w:w="1774" w:type="dxa"/>
                  <w:shd w:val="clear" w:color="auto" w:fill="auto"/>
                  <w:vAlign w:val="top"/>
                </w:tcPr>
                <w:p>
                  <w:pPr>
                    <w:jc w:val="center"/>
                    <w:rPr>
                      <w:rFonts w:hint="default" w:ascii="宋体" w:hAnsi="宋体" w:eastAsia="宋体" w:cs="宋体"/>
                      <w:kern w:val="2"/>
                      <w:sz w:val="21"/>
                      <w:szCs w:val="21"/>
                      <w:lang w:val="en-GB" w:eastAsia="zh-CN" w:bidi="ar-SA"/>
                    </w:rPr>
                  </w:pPr>
                  <w:r>
                    <w:rPr>
                      <w:rFonts w:hint="eastAsia" w:ascii="宋体" w:hAnsi="宋体" w:cs="宋体"/>
                      <w:sz w:val="21"/>
                      <w:szCs w:val="21"/>
                      <w:lang w:val="en-US" w:eastAsia="zh-CN"/>
                    </w:rPr>
                    <w:t>100</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szCs w:val="18"/>
                      <w:highlight w:val="none"/>
                      <w:lang w:val="en-US" w:eastAsia="zh-CN"/>
                    </w:rPr>
                    <w:t>合同履约率100％</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sz w:val="18"/>
                      <w:szCs w:val="18"/>
                      <w:lang w:val="en-US" w:eastAsia="zh-CN"/>
                    </w:rPr>
                    <w:t>合同履约</w:t>
                  </w:r>
                  <w:r>
                    <w:rPr>
                      <w:rFonts w:hint="eastAsia" w:ascii="宋体" w:hAnsi="宋体"/>
                      <w:sz w:val="18"/>
                      <w:szCs w:val="18"/>
                      <w:lang w:eastAsia="zh-CN"/>
                    </w:rPr>
                    <w:t>数/</w:t>
                  </w:r>
                  <w:r>
                    <w:rPr>
                      <w:rFonts w:hint="eastAsia" w:ascii="宋体" w:hAnsi="宋体"/>
                      <w:sz w:val="18"/>
                      <w:szCs w:val="18"/>
                      <w:lang w:val="en-US" w:eastAsia="zh-CN"/>
                    </w:rPr>
                    <w:t>签订合同</w:t>
                  </w:r>
                  <w:r>
                    <w:rPr>
                      <w:rFonts w:hint="eastAsia" w:ascii="宋体" w:hAnsi="宋体"/>
                      <w:sz w:val="18"/>
                      <w:szCs w:val="18"/>
                      <w:lang w:eastAsia="zh-CN"/>
                    </w:rPr>
                    <w:t>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业务部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cs="Times New Roman"/>
                      <w:color w:val="000000"/>
                      <w:szCs w:val="18"/>
                      <w:highlight w:val="none"/>
                      <w:lang w:val="en-US" w:eastAsia="zh-CN"/>
                    </w:rPr>
                    <w:t>顾客满意率达到≥90%以上</w:t>
                  </w:r>
                </w:p>
              </w:tc>
              <w:tc>
                <w:tcPr>
                  <w:tcW w:w="3136"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color w:val="000000"/>
                      <w:sz w:val="18"/>
                      <w:szCs w:val="18"/>
                    </w:rPr>
                    <w:t>顾客满意度=∑n1+n2+n3+……+ni/n×100%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eastAsia="宋体"/>
                      <w:lang w:val="en-US" w:eastAsia="zh-CN"/>
                    </w:rPr>
                    <w:t>业务部</w:t>
                  </w:r>
                </w:p>
              </w:tc>
              <w:tc>
                <w:tcPr>
                  <w:tcW w:w="1774" w:type="dxa"/>
                  <w:shd w:val="clear" w:color="auto" w:fill="auto"/>
                  <w:vAlign w:val="top"/>
                </w:tcPr>
                <w:p>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200</w:t>
            </w:r>
            <w:r>
              <w:rPr>
                <w:rFonts w:hint="eastAsia"/>
                <w:highlight w:val="none"/>
                <w:u w:val="single"/>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 xml:space="preserve"> 1</w:t>
            </w:r>
            <w:r>
              <w:rPr>
                <w:rFonts w:hint="eastAsia"/>
                <w:highlight w:val="none"/>
                <w:u w:val="single"/>
              </w:rPr>
              <w:t xml:space="preserve">  </w:t>
            </w:r>
            <w:r>
              <w:rPr>
                <w:rFonts w:hint="eastAsia"/>
                <w:highlight w:val="none"/>
              </w:rPr>
              <w:t>个；库房</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C7DAF1" w:themeFill="text2" w:themeFillTint="32"/>
              <w:rPr>
                <w:rFonts w:hint="default"/>
                <w:highlight w:val="none"/>
                <w:u w:val="single"/>
                <w:lang w:val="en-US"/>
              </w:rPr>
            </w:pPr>
            <w:r>
              <w:rPr>
                <w:rFonts w:hint="eastAsia"/>
                <w:highlight w:val="none"/>
              </w:rPr>
              <w:t>主要生产设备有：</w:t>
            </w:r>
            <w:r>
              <w:rPr>
                <w:rFonts w:hint="eastAsia"/>
                <w:highlight w:val="none"/>
                <w:u w:val="single"/>
              </w:rPr>
              <w:t xml:space="preserve"> </w:t>
            </w:r>
            <w:r>
              <w:rPr>
                <w:rFonts w:hint="eastAsia"/>
                <w:color w:val="000000"/>
                <w:highlight w:val="none"/>
                <w:u w:val="single"/>
                <w:lang w:val="en-US" w:eastAsia="zh-CN"/>
              </w:rPr>
              <w:t>磨床</w:t>
            </w:r>
            <w:r>
              <w:rPr>
                <w:rFonts w:hint="eastAsia"/>
                <w:highlight w:val="none"/>
                <w:u w:val="single"/>
                <w:vertAlign w:val="baseline"/>
                <w:lang w:val="en-US" w:eastAsia="zh-CN"/>
              </w:rPr>
              <w:t>MK84160、磨床MK84125、磨床MK84220、磨床MK84200等9台</w:t>
            </w:r>
            <w:r>
              <w:rPr>
                <w:color w:val="000000"/>
                <w:highlight w:val="none"/>
                <w:u w:val="single"/>
              </w:rPr>
              <w:t xml:space="preserve"> </w:t>
            </w:r>
          </w:p>
          <w:p>
            <w:pPr>
              <w:shd w:val="clear" w:color="auto" w:fill="C7DAF1" w:themeFill="text2" w:themeFillTint="32"/>
              <w:rPr>
                <w:highlight w:val="none"/>
              </w:rPr>
            </w:pPr>
            <w:r>
              <w:rPr>
                <w:rFonts w:hint="eastAsia"/>
                <w:highlight w:val="none"/>
              </w:rPr>
              <w:t>特种设备：</w:t>
            </w:r>
            <w:r>
              <w:rPr>
                <w:rFonts w:hint="eastAsia"/>
                <w:highlight w:val="none"/>
              </w:rPr>
              <w:sym w:font="Wingdings 2" w:char="00A3"/>
            </w:r>
            <w:r>
              <w:rPr>
                <w:rFonts w:hint="eastAsia"/>
                <w:highlight w:val="none"/>
              </w:rPr>
              <w:t xml:space="preserve">叉车 </w:t>
            </w:r>
            <w:r>
              <w:rPr>
                <w:rFonts w:hint="eastAsia"/>
                <w:highlight w:val="none"/>
              </w:rPr>
              <w:sym w:font="Wingdings 2" w:char="00A3"/>
            </w:r>
            <w:r>
              <w:rPr>
                <w:rFonts w:hint="eastAsia"/>
                <w:highlight w:val="none"/>
              </w:rPr>
              <w:t xml:space="preserve">行车 </w:t>
            </w:r>
            <w:r>
              <w:rPr>
                <w:rFonts w:hint="eastAsia"/>
                <w:highlight w:val="none"/>
              </w:rPr>
              <w:sym w:font="Wingdings 2" w:char="00A3"/>
            </w:r>
            <w:r>
              <w:rPr>
                <w:rFonts w:hint="eastAsia"/>
                <w:highlight w:val="none"/>
              </w:rPr>
              <w:t xml:space="preserve">锅炉 </w:t>
            </w:r>
            <w:r>
              <w:rPr>
                <w:rFonts w:hint="eastAsia"/>
                <w:highlight w:val="none"/>
              </w:rPr>
              <w:sym w:font="Wingdings 2" w:char="00A3"/>
            </w:r>
            <w:r>
              <w:rPr>
                <w:rFonts w:hint="eastAsia"/>
                <w:highlight w:val="none"/>
              </w:rPr>
              <w:t xml:space="preserve">电梯  </w:t>
            </w:r>
            <w:r>
              <w:rPr>
                <w:rFonts w:hint="eastAsia"/>
                <w:highlight w:val="none"/>
              </w:rPr>
              <w:sym w:font="Wingdings 2" w:char="00A3"/>
            </w:r>
            <w:r>
              <w:rPr>
                <w:rFonts w:hint="eastAsia"/>
                <w:highlight w:val="none"/>
              </w:rPr>
              <w:t xml:space="preserve">压力容器  </w:t>
            </w:r>
            <w:r>
              <w:rPr>
                <w:rFonts w:hint="eastAsia"/>
                <w:highlight w:val="none"/>
              </w:rPr>
              <w:sym w:font="Wingdings 2" w:char="00A3"/>
            </w:r>
            <w:r>
              <w:rPr>
                <w:rFonts w:hint="eastAsia"/>
                <w:highlight w:val="none"/>
              </w:rPr>
              <w:t xml:space="preserve">压力管道  </w:t>
            </w:r>
            <w:r>
              <w:rPr>
                <w:rFonts w:hint="eastAsia"/>
                <w:highlight w:val="none"/>
              </w:rPr>
              <w:sym w:font="Wingdings 2" w:char="00A3"/>
            </w:r>
            <w:r>
              <w:rPr>
                <w:rFonts w:hint="eastAsia"/>
                <w:highlight w:val="none"/>
              </w:rPr>
              <w:t xml:space="preserve">不适用  </w:t>
            </w:r>
          </w:p>
          <w:p>
            <w:pPr>
              <w:shd w:val="clear" w:color="auto" w:fill="C7DAF1" w:themeFill="text2" w:themeFillTint="32"/>
              <w:rPr>
                <w:highlight w:val="none"/>
                <w:u w:val="single"/>
              </w:rPr>
            </w:pPr>
            <w:r>
              <w:rPr>
                <w:rFonts w:hint="eastAsia"/>
                <w:highlight w:val="none"/>
              </w:rPr>
              <w:t>特种设备管理：</w:t>
            </w:r>
            <w:r>
              <w:rPr>
                <w:rFonts w:hint="eastAsia"/>
                <w:highlight w:val="none"/>
              </w:rPr>
              <w:sym w:font="Wingdings 2" w:char="0052"/>
            </w:r>
            <w:r>
              <w:rPr>
                <w:rFonts w:hint="eastAsia"/>
                <w:highlight w:val="none"/>
              </w:rPr>
              <w:t xml:space="preserve">进行了定期检验  </w:t>
            </w:r>
            <w:r>
              <w:rPr>
                <w:rFonts w:hint="eastAsia"/>
                <w:highlight w:val="none"/>
              </w:rPr>
              <w:sym w:font="Wingdings 2" w:char="00A3"/>
            </w:r>
            <w:r>
              <w:rPr>
                <w:rFonts w:hint="eastAsia"/>
                <w:highlight w:val="none"/>
              </w:rPr>
              <w:t xml:space="preserve">未进行定期检验的有：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shd w:val="clear" w:color="auto" w:fill="C7DAF1" w:themeFill="text2" w:themeFillTint="32"/>
              <w:rPr>
                <w:highlight w:val="none"/>
              </w:rPr>
            </w:pPr>
            <w:r>
              <w:rPr>
                <w:rFonts w:hint="eastAsia"/>
                <w:highlight w:val="none"/>
              </w:rPr>
              <w:sym w:font="Wingdings 2" w:char="0052"/>
            </w:r>
            <w:r>
              <w:rPr>
                <w:rFonts w:hint="eastAsia"/>
                <w:highlight w:val="none"/>
              </w:rPr>
              <w:t>组织</w:t>
            </w:r>
            <w:r>
              <w:rPr>
                <w:highlight w:val="none"/>
              </w:rPr>
              <w:t>现有</w:t>
            </w:r>
            <w:r>
              <w:rPr>
                <w:rFonts w:hint="eastAsia"/>
                <w:highlight w:val="none"/>
              </w:rPr>
              <w:t>基础设施可满足质量管理体系运行；</w:t>
            </w:r>
          </w:p>
          <w:p>
            <w:pPr>
              <w:shd w:val="clear" w:color="auto" w:fill="C7DAF1" w:themeFill="text2" w:themeFillTint="32"/>
              <w:rPr>
                <w:highlight w:val="none"/>
              </w:rPr>
            </w:pPr>
            <w:r>
              <w:rPr>
                <w:rFonts w:hint="eastAsia"/>
                <w:highlight w:val="none"/>
              </w:rPr>
              <w:t>□组织</w:t>
            </w:r>
            <w:r>
              <w:rPr>
                <w:highlight w:val="none"/>
              </w:rPr>
              <w:t>现有</w:t>
            </w:r>
            <w:r>
              <w:rPr>
                <w:rFonts w:hint="eastAsia"/>
                <w:highlight w:val="none"/>
              </w:rPr>
              <w:t>基础设施可基本满足质量管理体系运行，但是还有不足需要补充：</w:t>
            </w:r>
            <w:r>
              <w:rPr>
                <w:rFonts w:hint="eastAsia"/>
                <w:highlight w:val="none"/>
                <w:u w:val="single"/>
              </w:rPr>
              <w:t xml:space="preserve">           </w:t>
            </w:r>
          </w:p>
          <w:p>
            <w:pPr>
              <w:shd w:val="clear" w:color="auto" w:fill="C7DAF1" w:themeFill="text2" w:themeFillTint="32"/>
              <w:rPr>
                <w:highlight w:val="none"/>
                <w:u w:val="single"/>
              </w:rPr>
            </w:pPr>
            <w:r>
              <w:rPr>
                <w:rFonts w:hint="eastAsia"/>
                <w:highlight w:val="none"/>
              </w:rPr>
              <w:t>□组织</w:t>
            </w:r>
            <w:r>
              <w:rPr>
                <w:highlight w:val="none"/>
              </w:rPr>
              <w:t>现有</w:t>
            </w:r>
            <w:r>
              <w:rPr>
                <w:rFonts w:hint="eastAsia"/>
                <w:highlight w:val="none"/>
              </w:rPr>
              <w:t>基础设施完全不能满足质量管理体系运行，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   □服务流程检查表  □其他</w:t>
            </w:r>
          </w:p>
          <w:p>
            <w:pPr>
              <w:shd w:val="clear" w:color="auto" w:fill="C7DAF1" w:themeFill="text2" w:themeFillTint="32"/>
            </w:pPr>
            <w:r>
              <w:rPr>
                <w:rFonts w:hint="eastAsia"/>
              </w:rPr>
              <w:t>计量器具的</w:t>
            </w:r>
            <w:r>
              <w:t>测量溯源</w:t>
            </w:r>
            <w:r>
              <w:rPr>
                <w:rFonts w:hint="eastAsia"/>
              </w:rPr>
              <w:t xml:space="preserve">方法：  □自校   </w:t>
            </w:r>
            <w:r>
              <w:rPr>
                <w:rFonts w:hint="eastAsia"/>
              </w:rPr>
              <w:sym w:font="Wingdings 2" w:char="0052"/>
            </w:r>
            <w:r>
              <w:rPr>
                <w:rFonts w:hint="eastAsia"/>
              </w:rPr>
              <w:t xml:space="preserve">外校 </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rPr>
              <w:t xml:space="preserve">                             </w:t>
            </w:r>
            <w:r>
              <w:rPr>
                <w:rFonts w:hint="eastAsia"/>
                <w:u w:val="single"/>
                <w:lang w:val="en-US" w:eastAsia="zh-CN"/>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ascii="Wingdings" w:hAnsi="Wingdings"/>
                <w:lang w:eastAsia="zh-CN"/>
              </w:rPr>
              <w:sym w:font="Wingdings 2" w:char="0052"/>
            </w:r>
            <w:r>
              <w:rPr>
                <w:rFonts w:hint="eastAsia"/>
              </w:rPr>
              <w:t xml:space="preserve">未进行定期校准/检定的有： </w:t>
            </w:r>
            <w:r>
              <w:rPr>
                <w:rFonts w:hint="eastAsia"/>
                <w:u w:val="single"/>
              </w:rPr>
              <w:t xml:space="preserve">  </w:t>
            </w:r>
            <w:r>
              <w:rPr>
                <w:rFonts w:hint="eastAsia"/>
                <w:u w:val="single"/>
                <w:lang w:val="en-US" w:eastAsia="zh-CN"/>
              </w:rPr>
              <w:t>游标卡尺、万用表</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 xml:space="preserve">加工工艺 </w:t>
            </w:r>
            <w:r>
              <w:rPr>
                <w:rFonts w:hint="eastAsia" w:ascii="Wingdings" w:hAnsi="Wingdings"/>
                <w:lang w:eastAsia="zh-CN"/>
              </w:rPr>
              <w:sym w:font="Wingdings 2" w:char="0052"/>
            </w:r>
            <w:r>
              <w:rPr>
                <w:rFonts w:hint="eastAsia"/>
              </w:rPr>
              <w:t xml:space="preserve">生产经验  </w:t>
            </w:r>
            <w:r>
              <w:rPr>
                <w:rFonts w:hint="eastAsia" w:ascii="Wingdings" w:hAnsi="Wingdings"/>
                <w:lang w:eastAsia="zh-CN"/>
              </w:rPr>
              <w:t>□</w:t>
            </w:r>
            <w:r>
              <w:rPr>
                <w:rFonts w:hint="eastAsia"/>
              </w:rPr>
              <w:t xml:space="preserve">管理软件  </w:t>
            </w:r>
            <w:r>
              <w:rPr>
                <w:rFonts w:hint="eastAsia" w:ascii="Wingdings" w:hAnsi="Wingdings"/>
                <w:lang w:eastAsia="zh-CN"/>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 xml:space="preserve">顾客提供资料 </w:t>
            </w:r>
            <w:r>
              <w:rPr>
                <w:rFonts w:hint="eastAsia" w:ascii="Wingdings" w:hAnsi="Wingdings"/>
                <w:lang w:eastAsia="zh-CN"/>
              </w:rPr>
              <w:sym w:font="Wingdings 2" w:char="0052"/>
            </w:r>
            <w:r>
              <w:rPr>
                <w:rFonts w:hint="eastAsia"/>
              </w:rPr>
              <w:t xml:space="preserve">产品标准  </w:t>
            </w:r>
            <w:r>
              <w:rPr>
                <w:rFonts w:hint="eastAsia" w:ascii="Wingdings" w:hAnsi="Wingdings"/>
                <w:lang w:eastAsia="zh-CN"/>
              </w:rPr>
              <w:sym w:font="Wingdings 2" w:char="00A3"/>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 xml:space="preserve">电工 </w:t>
            </w:r>
            <w:r>
              <w:rPr>
                <w:rFonts w:hint="eastAsia" w:ascii="Wingdings" w:hAnsi="Wingdings"/>
                <w:lang w:eastAsia="zh-CN"/>
              </w:rPr>
              <w:sym w:font="Wingdings 2" w:char="00A3"/>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 xml:space="preserve">文件发放 </w:t>
            </w:r>
            <w:r>
              <w:rPr>
                <w:rFonts w:hint="eastAsia" w:ascii="Wingdings" w:hAnsi="Wingdings"/>
                <w:lang w:eastAsia="zh-CN"/>
              </w:rPr>
              <w:sym w:font="Wingdings 2" w:char="0052"/>
            </w:r>
            <w:r>
              <w:rPr>
                <w:rFonts w:hint="eastAsia"/>
              </w:rPr>
              <w:t xml:space="preserve">会议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 xml:space="preserve">宣传材料 </w:t>
            </w:r>
            <w:r>
              <w:rPr>
                <w:rFonts w:hint="eastAsia" w:ascii="Wingdings" w:hAnsi="Wingdings"/>
                <w:lang w:eastAsia="zh-CN"/>
              </w:rPr>
              <w:sym w:font="Wingdings 2" w:char="00A3"/>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sym w:font="Wingdings 2" w:char="0052"/>
            </w:r>
            <w:r>
              <w:rPr>
                <w:rFonts w:hint="eastAsia"/>
              </w:rPr>
              <w:t xml:space="preserve">检测计划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lang w:eastAsia="zh-CN"/>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sym w:font="Wingdings 2" w:char="0052"/>
            </w:r>
            <w:r>
              <w:rPr>
                <w:rFonts w:hint="eastAsia"/>
              </w:rPr>
              <w:t xml:space="preserve">顾客要求 </w:t>
            </w:r>
            <w:r>
              <w:rPr>
                <w:rFonts w:hint="eastAsia" w:ascii="Wingdings" w:hAnsi="Wingdings"/>
                <w:lang w:eastAsia="zh-CN"/>
              </w:rPr>
              <w:t>□</w:t>
            </w:r>
            <w:r>
              <w:rPr>
                <w:rFonts w:hint="eastAsia"/>
              </w:rPr>
              <w:t xml:space="preserve">运输  </w:t>
            </w:r>
            <w:r>
              <w:rPr>
                <w:rFonts w:hint="eastAsia" w:ascii="Wingdings" w:hAnsi="Wingdings"/>
                <w:lang w:eastAsia="zh-CN"/>
              </w:rPr>
              <w:sym w:font="Wingdings 2" w:char="0052"/>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2687"/>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dxa"/>
                </w:tcPr>
                <w:p>
                  <w:pPr>
                    <w:shd w:val="clear" w:color="auto" w:fill="C7DAF1" w:themeFill="text2" w:themeFillTint="32"/>
                    <w:jc w:val="left"/>
                  </w:pPr>
                  <w:r>
                    <w:rPr>
                      <w:rFonts w:hint="eastAsia"/>
                    </w:rPr>
                    <w:t>产品/服务名称</w:t>
                  </w:r>
                </w:p>
              </w:tc>
              <w:tc>
                <w:tcPr>
                  <w:tcW w:w="2687"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rPr>
                      <w:rFonts w:hint="eastAsia" w:ascii="Times New Roman" w:hAnsi="Times New Roman" w:eastAsia="宋体" w:cs="Times New Roman"/>
                      <w:lang w:val="en-US" w:eastAsia="zh-CN"/>
                    </w:rPr>
                  </w:pPr>
                  <w:r>
                    <w:rPr>
                      <w:sz w:val="20"/>
                    </w:rPr>
                    <w:t>机电设备维修（需资质许可要求的除外）</w:t>
                  </w:r>
                </w:p>
              </w:tc>
              <w:tc>
                <w:tcPr>
                  <w:tcW w:w="2687" w:type="dxa"/>
                </w:tcPr>
                <w:p>
                  <w:pPr>
                    <w:shd w:val="clear" w:color="auto" w:fill="C7DAF1" w:themeFill="text2" w:themeFillTint="32"/>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维修服务过程</w:t>
                  </w:r>
                  <w:bookmarkStart w:id="34" w:name="_GoBack"/>
                  <w:bookmarkEnd w:id="34"/>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客户合同要求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shd w:val="clear" w:color="auto" w:fill="C7DAF1" w:themeFill="text2" w:themeFillTint="32"/>
                    <w:jc w:val="left"/>
                  </w:pPr>
                </w:p>
              </w:tc>
              <w:tc>
                <w:tcPr>
                  <w:tcW w:w="2687"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u w:val="single"/>
                <w:lang w:val="en-US" w:eastAsia="zh-CN"/>
              </w:rPr>
              <w:t>维修服务过程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rPr>
              <w:t xml:space="preserve">进行了有效的确认  </w:t>
            </w:r>
            <w:r>
              <w:rPr>
                <w:rFonts w:hint="eastAsia" w:ascii="Wingdings" w:hAnsi="Wingdings"/>
                <w:lang w:eastAsia="zh-CN"/>
              </w:rPr>
              <w:sym w:font="Wingdings 2" w:char="00A3"/>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sym w:font="Wingdings 2" w:char="0052"/>
            </w:r>
            <w:r>
              <w:rPr>
                <w:rFonts w:hint="eastAsia"/>
              </w:rPr>
              <w:t xml:space="preserve">标牌 </w:t>
            </w:r>
            <w:r>
              <w:rPr>
                <w:rFonts w:hint="eastAsia" w:ascii="Wingdings" w:hAnsi="Wingdings"/>
                <w:lang w:eastAsia="zh-CN"/>
              </w:rPr>
              <w:sym w:font="Wingdings 2" w:char="0052"/>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sym w:font="Wingdings 2" w:char="0052"/>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 xml:space="preserve">原材料 </w:t>
            </w:r>
            <w:r>
              <w:rPr>
                <w:rFonts w:hint="eastAsia" w:ascii="Wingdings" w:hAnsi="Wingdings"/>
                <w:lang w:eastAsia="zh-CN"/>
              </w:rPr>
              <w:t>□</w:t>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t>□</w:t>
            </w:r>
            <w:r>
              <w:rPr>
                <w:rFonts w:hint="eastAsia"/>
              </w:rPr>
              <w:t xml:space="preserve">配方 </w:t>
            </w:r>
            <w:r>
              <w:rPr>
                <w:rFonts w:hint="eastAsia" w:ascii="Wingdings" w:hAnsi="Wingdings"/>
                <w:lang w:eastAsia="zh-CN"/>
              </w:rPr>
              <w:sym w:font="Wingdings 2" w:char="0052"/>
            </w:r>
            <w:r>
              <w:rPr>
                <w:rFonts w:hint="eastAsia"/>
              </w:rPr>
              <w:t xml:space="preserve">个人信息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lang w:eastAsia="zh-CN"/>
              </w:rPr>
              <w:sym w:font="Wingdings 2" w:char="00A3"/>
            </w:r>
            <w:r>
              <w:rPr>
                <w:rFonts w:hint="eastAsia"/>
              </w:rPr>
              <w:t xml:space="preserve">三包 </w:t>
            </w:r>
            <w:r>
              <w:rPr>
                <w:rFonts w:hint="eastAsia" w:ascii="Wingdings" w:hAnsi="Wingdings"/>
                <w:lang w:eastAsia="zh-CN"/>
              </w:rPr>
              <w:sym w:font="Wingdings 2" w:char="0052"/>
            </w:r>
            <w:r>
              <w:rPr>
                <w:rFonts w:hint="eastAsia"/>
              </w:rPr>
              <w:t xml:space="preserve">维修 </w:t>
            </w:r>
            <w:r>
              <w:rPr>
                <w:rFonts w:hint="eastAsia" w:ascii="Wingdings" w:hAnsi="Wingdings"/>
                <w:lang w:eastAsia="zh-CN"/>
              </w:rPr>
              <w:t>□</w:t>
            </w:r>
            <w:r>
              <w:rPr>
                <w:rFonts w:hint="eastAsia"/>
              </w:rPr>
              <w:t xml:space="preserve">赔偿 </w:t>
            </w:r>
            <w:r>
              <w:rPr>
                <w:rFonts w:hint="eastAsia" w:ascii="Wingdings" w:hAnsi="Wingdings"/>
                <w:lang w:eastAsia="zh-CN"/>
              </w:rPr>
              <w:t>□</w:t>
            </w:r>
            <w:r>
              <w:rPr>
                <w:rFonts w:hint="eastAsia"/>
              </w:rPr>
              <w:t xml:space="preserve">道歉 </w:t>
            </w:r>
            <w:r>
              <w:rPr>
                <w:rFonts w:hint="eastAsia" w:ascii="Wingdings" w:hAnsi="Wingdings"/>
                <w:lang w:eastAsia="zh-CN"/>
              </w:rPr>
              <w:sym w:font="Wingdings 2" w:char="0052"/>
            </w:r>
            <w:r>
              <w:rPr>
                <w:rFonts w:hint="eastAsia"/>
              </w:rPr>
              <w:t xml:space="preserve">最终处置 </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sym w:font="Wingdings 2" w:char="0052"/>
            </w:r>
            <w:r>
              <w:rPr>
                <w:rFonts w:hint="eastAsia"/>
              </w:rPr>
              <w:t xml:space="preserve">重要原材料 </w:t>
            </w:r>
            <w:r>
              <w:rPr>
                <w:rFonts w:hint="eastAsia" w:ascii="Wingdings" w:hAnsi="Wingdings"/>
                <w:lang w:eastAsia="zh-CN"/>
              </w:rPr>
              <w:sym w:font="Wingdings 2" w:char="0052"/>
            </w:r>
            <w:r>
              <w:rPr>
                <w:rFonts w:hint="eastAsia"/>
              </w:rPr>
              <w:t xml:space="preserve">设备 </w:t>
            </w:r>
            <w:r>
              <w:rPr>
                <w:rFonts w:hint="eastAsia" w:ascii="Wingdings" w:hAnsi="Wingdings"/>
                <w:lang w:eastAsia="zh-CN"/>
              </w:rPr>
              <w:sym w:font="Wingdings 2" w:char="0052"/>
            </w:r>
            <w:r>
              <w:rPr>
                <w:rFonts w:hint="eastAsia"/>
              </w:rPr>
              <w:t xml:space="preserve">检测设备 </w:t>
            </w:r>
            <w:r>
              <w:rPr>
                <w:rFonts w:hint="eastAsia" w:ascii="Wingdings" w:hAnsi="Wingdings"/>
                <w:lang w:eastAsia="zh-CN"/>
              </w:rPr>
              <w:sym w:font="Wingdings 2" w:char="0052"/>
            </w:r>
            <w:r>
              <w:rPr>
                <w:rFonts w:hint="eastAsia"/>
              </w:rPr>
              <w:t xml:space="preserve">图纸 </w:t>
            </w:r>
            <w:r>
              <w:rPr>
                <w:rFonts w:hint="eastAsia" w:ascii="Wingdings" w:hAnsi="Wingdings"/>
                <w:lang w:eastAsia="zh-CN"/>
              </w:rPr>
              <w:sym w:font="Wingdings 2" w:char="0052"/>
            </w:r>
            <w:r>
              <w:rPr>
                <w:rFonts w:hint="eastAsia"/>
              </w:rPr>
              <w:t xml:space="preserve">工艺 </w:t>
            </w:r>
            <w:r>
              <w:rPr>
                <w:rFonts w:hint="eastAsia" w:ascii="Wingdings" w:hAnsi="Wingdings"/>
                <w:lang w:eastAsia="zh-CN"/>
              </w:rPr>
              <w:sym w:font="Wingdings 2" w:char="0052"/>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 xml:space="preserve">进货检验 </w:t>
            </w:r>
            <w:r>
              <w:rPr>
                <w:rFonts w:hint="eastAsia" w:ascii="Wingdings" w:hAnsi="Wingdings"/>
                <w:lang w:eastAsia="zh-CN"/>
              </w:rPr>
              <w:sym w:font="Wingdings 2" w:char="00A3"/>
            </w:r>
            <w:r>
              <w:rPr>
                <w:rFonts w:hint="eastAsia"/>
              </w:rPr>
              <w:t xml:space="preserve">首件检验 </w:t>
            </w:r>
            <w:r>
              <w:rPr>
                <w:rFonts w:hint="eastAsia" w:ascii="Wingdings" w:hAnsi="Wingdings"/>
                <w:lang w:eastAsia="zh-CN"/>
              </w:rPr>
              <w:sym w:font="Wingdings 2" w:char="0052"/>
            </w:r>
            <w:r>
              <w:rPr>
                <w:rFonts w:hint="eastAsia"/>
              </w:rPr>
              <w:t xml:space="preserve">过程检验 </w:t>
            </w:r>
            <w:r>
              <w:rPr>
                <w:rFonts w:hint="eastAsia" w:ascii="Wingdings" w:hAnsi="Wingdings"/>
                <w:lang w:eastAsia="zh-CN"/>
              </w:rPr>
              <w:sym w:font="Wingdings 2" w:char="0052"/>
            </w:r>
            <w:r>
              <w:rPr>
                <w:rFonts w:hint="eastAsia"/>
              </w:rPr>
              <w:t xml:space="preserve">最终检验 </w:t>
            </w:r>
            <w:r>
              <w:rPr>
                <w:rFonts w:hint="eastAsia" w:ascii="Wingdings" w:hAnsi="Wingdings"/>
                <w:lang w:eastAsia="zh-CN"/>
              </w:rPr>
              <w:t>□</w:t>
            </w:r>
            <w:r>
              <w:rPr>
                <w:rFonts w:hint="eastAsia"/>
              </w:rPr>
              <w:t xml:space="preserve">型式检验 </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 xml:space="preserve">顾客调查 </w:t>
            </w:r>
            <w:r>
              <w:rPr>
                <w:rFonts w:hint="eastAsia" w:ascii="Wingdings" w:hAnsi="Wingdings"/>
                <w:lang w:eastAsia="zh-CN"/>
              </w:rPr>
              <w:sym w:font="Wingdings 2" w:char="0052"/>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sym w:font="Wingdings 2" w:char="0052"/>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20</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 xml:space="preserve">不合格产品/服务 </w:t>
            </w:r>
            <w:r>
              <w:rPr>
                <w:rFonts w:hint="eastAsia" w:ascii="Wingdings" w:hAnsi="Wingdings"/>
                <w:lang w:eastAsia="zh-CN"/>
              </w:rPr>
              <w:sym w:font="Wingdings 2" w:char="0052"/>
            </w:r>
            <w:r>
              <w:rPr>
                <w:rFonts w:hint="eastAsia"/>
              </w:rPr>
              <w:t xml:space="preserve">自我验证的结果  </w:t>
            </w:r>
            <w:r>
              <w:rPr>
                <w:rFonts w:hint="eastAsia" w:ascii="Wingdings" w:hAnsi="Wingdings"/>
                <w:lang w:eastAsia="zh-CN"/>
              </w:rPr>
              <w:sym w:font="Wingdings 2" w:char="0052"/>
            </w:r>
            <w:r>
              <w:rPr>
                <w:rFonts w:hint="eastAsia"/>
              </w:rPr>
              <w:t xml:space="preserve">顾客投诉  </w:t>
            </w:r>
            <w:r>
              <w:rPr>
                <w:rFonts w:hint="eastAsia" w:ascii="Wingdings" w:hAnsi="Wingdings"/>
                <w:lang w:eastAsia="zh-CN"/>
              </w:rPr>
              <w:sym w:font="Wingdings 2" w:char="0052"/>
            </w:r>
            <w:r>
              <w:rPr>
                <w:rFonts w:hint="eastAsia"/>
              </w:rPr>
              <w:t xml:space="preserve">顾客满意调查 </w:t>
            </w:r>
          </w:p>
          <w:p>
            <w:pPr>
              <w:shd w:val="clear" w:color="auto" w:fill="C7DAF1" w:themeFill="text2" w:themeFillTint="32"/>
            </w:pPr>
            <w:r>
              <w:rPr>
                <w:rFonts w:hint="eastAsia" w:ascii="Wingdings" w:hAnsi="Wingdings"/>
                <w:lang w:eastAsia="zh-CN"/>
              </w:rPr>
              <w:sym w:font="Wingdings 2" w:char="0052"/>
            </w:r>
            <w:r>
              <w:rPr>
                <w:rFonts w:hint="eastAsia"/>
              </w:rPr>
              <w:t xml:space="preserve">内审不符合项   </w:t>
            </w:r>
            <w:r>
              <w:rPr>
                <w:rFonts w:hint="eastAsia" w:ascii="Wingdings" w:hAnsi="Wingdings"/>
                <w:lang w:eastAsia="zh-CN"/>
              </w:rPr>
              <w:sym w:font="Wingdings 2" w:char="0052"/>
            </w:r>
            <w:r>
              <w:rPr>
                <w:rFonts w:hint="eastAsia"/>
              </w:rPr>
              <w:t xml:space="preserve">外审不符合项  </w:t>
            </w:r>
            <w:r>
              <w:rPr>
                <w:rFonts w:hint="eastAsia" w:ascii="Wingdings" w:hAnsi="Wingdings"/>
                <w:lang w:eastAsia="zh-CN"/>
              </w:rPr>
              <w:sym w:font="Wingdings 2" w:char="0052"/>
            </w:r>
            <w:r>
              <w:rPr>
                <w:rFonts w:hint="eastAsia"/>
              </w:rPr>
              <w:t xml:space="preserve">管理评审   </w:t>
            </w:r>
            <w:r>
              <w:rPr>
                <w:rFonts w:hint="eastAsia" w:ascii="Wingdings" w:hAnsi="Wingdings"/>
                <w:lang w:eastAsia="zh-CN"/>
              </w:rPr>
              <w:sym w:font="Wingdings 2" w:char="0052"/>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611"/>
        <w:gridCol w:w="612"/>
        <w:gridCol w:w="612"/>
        <w:gridCol w:w="611"/>
        <w:gridCol w:w="612"/>
        <w:gridCol w:w="612"/>
        <w:gridCol w:w="611"/>
        <w:gridCol w:w="612"/>
        <w:gridCol w:w="612"/>
        <w:gridCol w:w="611"/>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4.1</w:t>
            </w:r>
          </w:p>
        </w:tc>
        <w:tc>
          <w:tcPr>
            <w:tcW w:w="612" w:type="dxa"/>
            <w:vAlign w:val="center"/>
          </w:tcPr>
          <w:p>
            <w:pPr>
              <w:shd w:val="clear" w:color="auto" w:fill="C7DAF1" w:themeFill="text2" w:themeFillTint="32"/>
              <w:rPr>
                <w:lang w:eastAsia="ja-JP"/>
              </w:rPr>
            </w:pPr>
            <w:r>
              <w:rPr>
                <w:rFonts w:hint="eastAsia"/>
              </w:rPr>
              <w:t>4.2</w:t>
            </w:r>
          </w:p>
        </w:tc>
        <w:tc>
          <w:tcPr>
            <w:tcW w:w="612" w:type="dxa"/>
            <w:vAlign w:val="center"/>
          </w:tcPr>
          <w:p>
            <w:pPr>
              <w:shd w:val="clear" w:color="auto" w:fill="C7DAF1" w:themeFill="text2" w:themeFillTint="32"/>
              <w:rPr>
                <w:lang w:eastAsia="ja-JP"/>
              </w:rPr>
            </w:pPr>
            <w:r>
              <w:rPr>
                <w:rFonts w:hint="eastAsia"/>
              </w:rPr>
              <w:t>4.3</w:t>
            </w:r>
          </w:p>
        </w:tc>
        <w:tc>
          <w:tcPr>
            <w:tcW w:w="611" w:type="dxa"/>
            <w:vAlign w:val="center"/>
          </w:tcPr>
          <w:p>
            <w:pPr>
              <w:shd w:val="clear" w:color="auto" w:fill="C7DAF1" w:themeFill="text2" w:themeFillTint="32"/>
              <w:rPr>
                <w:lang w:eastAsia="ja-JP"/>
              </w:rPr>
            </w:pPr>
            <w:r>
              <w:rPr>
                <w:rFonts w:hint="eastAsia"/>
              </w:rPr>
              <w:t>4.4</w:t>
            </w:r>
          </w:p>
        </w:tc>
        <w:tc>
          <w:tcPr>
            <w:tcW w:w="612" w:type="dxa"/>
            <w:vAlign w:val="center"/>
          </w:tcPr>
          <w:p>
            <w:pPr>
              <w:shd w:val="clear" w:color="auto" w:fill="C7DAF1" w:themeFill="text2" w:themeFillTint="32"/>
              <w:rPr>
                <w:lang w:eastAsia="ja-JP"/>
              </w:rPr>
            </w:pPr>
            <w:r>
              <w:rPr>
                <w:rFonts w:hint="eastAsia"/>
              </w:rPr>
              <w:t>5.1</w:t>
            </w:r>
          </w:p>
        </w:tc>
        <w:tc>
          <w:tcPr>
            <w:tcW w:w="612" w:type="dxa"/>
            <w:vAlign w:val="center"/>
          </w:tcPr>
          <w:p>
            <w:pPr>
              <w:shd w:val="clear" w:color="auto" w:fill="C7DAF1" w:themeFill="text2" w:themeFillTint="32"/>
              <w:rPr>
                <w:lang w:eastAsia="ja-JP"/>
              </w:rPr>
            </w:pPr>
            <w:r>
              <w:rPr>
                <w:rFonts w:hint="eastAsia"/>
              </w:rPr>
              <w:t>5.2</w:t>
            </w:r>
          </w:p>
        </w:tc>
        <w:tc>
          <w:tcPr>
            <w:tcW w:w="611" w:type="dxa"/>
            <w:vAlign w:val="center"/>
          </w:tcPr>
          <w:p>
            <w:pPr>
              <w:shd w:val="clear" w:color="auto" w:fill="C7DAF1" w:themeFill="text2" w:themeFillTint="32"/>
              <w:rPr>
                <w:lang w:eastAsia="ja-JP"/>
              </w:rPr>
            </w:pPr>
            <w:r>
              <w:rPr>
                <w:rFonts w:hint="eastAsia"/>
              </w:rPr>
              <w:t>5.3</w:t>
            </w:r>
          </w:p>
        </w:tc>
        <w:tc>
          <w:tcPr>
            <w:tcW w:w="612" w:type="dxa"/>
            <w:vAlign w:val="center"/>
          </w:tcPr>
          <w:p>
            <w:pPr>
              <w:shd w:val="clear" w:color="auto" w:fill="C7DAF1" w:themeFill="text2" w:themeFillTint="32"/>
              <w:rPr>
                <w:lang w:eastAsia="ja-JP"/>
              </w:rPr>
            </w:pPr>
            <w:r>
              <w:rPr>
                <w:rFonts w:hint="eastAsia"/>
              </w:rPr>
              <w:t>6.1</w:t>
            </w:r>
          </w:p>
        </w:tc>
        <w:tc>
          <w:tcPr>
            <w:tcW w:w="612" w:type="dxa"/>
            <w:vAlign w:val="center"/>
          </w:tcPr>
          <w:p>
            <w:pPr>
              <w:shd w:val="clear" w:color="auto" w:fill="C7DAF1" w:themeFill="text2" w:themeFillTint="32"/>
              <w:rPr>
                <w:lang w:eastAsia="ja-JP"/>
              </w:rPr>
            </w:pPr>
            <w:r>
              <w:rPr>
                <w:rFonts w:hint="eastAsia"/>
              </w:rPr>
              <w:t>6.2</w:t>
            </w:r>
          </w:p>
        </w:tc>
        <w:tc>
          <w:tcPr>
            <w:tcW w:w="611" w:type="dxa"/>
            <w:vAlign w:val="center"/>
          </w:tcPr>
          <w:p>
            <w:pPr>
              <w:shd w:val="clear" w:color="auto" w:fill="C7DAF1" w:themeFill="text2" w:themeFillTint="32"/>
              <w:rPr>
                <w:lang w:eastAsia="ja-JP"/>
              </w:rPr>
            </w:pPr>
            <w:r>
              <w:rPr>
                <w:rFonts w:hint="eastAsia"/>
              </w:rPr>
              <w:t>6.3</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shd w:val="clear" w:color="auto" w:fill="BFBFBF"/>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7.1</w:t>
            </w:r>
          </w:p>
        </w:tc>
        <w:tc>
          <w:tcPr>
            <w:tcW w:w="612" w:type="dxa"/>
            <w:vAlign w:val="center"/>
          </w:tcPr>
          <w:p>
            <w:pPr>
              <w:shd w:val="clear" w:color="auto" w:fill="C7DAF1" w:themeFill="text2" w:themeFillTint="32"/>
              <w:rPr>
                <w:lang w:eastAsia="ja-JP"/>
              </w:rPr>
            </w:pPr>
            <w:r>
              <w:rPr>
                <w:rFonts w:hint="eastAsia"/>
              </w:rPr>
              <w:t>7.2</w:t>
            </w:r>
          </w:p>
        </w:tc>
        <w:tc>
          <w:tcPr>
            <w:tcW w:w="612" w:type="dxa"/>
            <w:vAlign w:val="center"/>
          </w:tcPr>
          <w:p>
            <w:pPr>
              <w:shd w:val="clear" w:color="auto" w:fill="C7DAF1" w:themeFill="text2" w:themeFillTint="32"/>
              <w:rPr>
                <w:lang w:eastAsia="ja-JP"/>
              </w:rPr>
            </w:pPr>
            <w:r>
              <w:rPr>
                <w:rFonts w:hint="eastAsia"/>
              </w:rPr>
              <w:t>7.3</w:t>
            </w:r>
          </w:p>
        </w:tc>
        <w:tc>
          <w:tcPr>
            <w:tcW w:w="611" w:type="dxa"/>
            <w:vAlign w:val="center"/>
          </w:tcPr>
          <w:p>
            <w:pPr>
              <w:shd w:val="clear" w:color="auto" w:fill="C7DAF1" w:themeFill="text2" w:themeFillTint="32"/>
              <w:rPr>
                <w:lang w:eastAsia="ja-JP"/>
              </w:rPr>
            </w:pPr>
            <w:r>
              <w:rPr>
                <w:rFonts w:hint="eastAsia"/>
              </w:rPr>
              <w:t>7.4</w:t>
            </w:r>
          </w:p>
        </w:tc>
        <w:tc>
          <w:tcPr>
            <w:tcW w:w="612" w:type="dxa"/>
            <w:vAlign w:val="center"/>
          </w:tcPr>
          <w:p>
            <w:pPr>
              <w:shd w:val="clear" w:color="auto" w:fill="C7DAF1" w:themeFill="text2" w:themeFillTint="32"/>
              <w:rPr>
                <w:lang w:eastAsia="ja-JP"/>
              </w:rPr>
            </w:pPr>
            <w:r>
              <w:rPr>
                <w:rFonts w:hint="eastAsia"/>
              </w:rPr>
              <w:t>7.5</w:t>
            </w:r>
          </w:p>
        </w:tc>
        <w:tc>
          <w:tcPr>
            <w:tcW w:w="612" w:type="dxa"/>
            <w:vAlign w:val="center"/>
          </w:tcPr>
          <w:p>
            <w:pPr>
              <w:shd w:val="clear" w:color="auto" w:fill="C7DAF1" w:themeFill="text2" w:themeFillTint="32"/>
              <w:rPr>
                <w:lang w:eastAsia="ja-JP"/>
              </w:rPr>
            </w:pPr>
            <w:r>
              <w:rPr>
                <w:rFonts w:hint="eastAsia"/>
              </w:rPr>
              <w:t>8.1</w:t>
            </w:r>
          </w:p>
        </w:tc>
        <w:tc>
          <w:tcPr>
            <w:tcW w:w="611" w:type="dxa"/>
            <w:vAlign w:val="center"/>
          </w:tcPr>
          <w:p>
            <w:pPr>
              <w:shd w:val="clear" w:color="auto" w:fill="C7DAF1" w:themeFill="text2" w:themeFillTint="32"/>
              <w:rPr>
                <w:lang w:eastAsia="ja-JP"/>
              </w:rPr>
            </w:pPr>
            <w:r>
              <w:rPr>
                <w:rFonts w:hint="eastAsia"/>
              </w:rPr>
              <w:t>8.2</w:t>
            </w:r>
          </w:p>
        </w:tc>
        <w:tc>
          <w:tcPr>
            <w:tcW w:w="612" w:type="dxa"/>
            <w:vAlign w:val="center"/>
          </w:tcPr>
          <w:p>
            <w:pPr>
              <w:shd w:val="clear" w:color="auto" w:fill="C7DAF1" w:themeFill="text2" w:themeFillTint="32"/>
              <w:rPr>
                <w:lang w:eastAsia="ja-JP"/>
              </w:rPr>
            </w:pPr>
            <w:r>
              <w:rPr>
                <w:rFonts w:hint="eastAsia"/>
              </w:rPr>
              <w:t>8.3</w:t>
            </w:r>
          </w:p>
        </w:tc>
        <w:tc>
          <w:tcPr>
            <w:tcW w:w="612" w:type="dxa"/>
            <w:vAlign w:val="center"/>
          </w:tcPr>
          <w:p>
            <w:pPr>
              <w:shd w:val="clear" w:color="auto" w:fill="C7DAF1" w:themeFill="text2" w:themeFillTint="32"/>
              <w:rPr>
                <w:lang w:eastAsia="ja-JP"/>
              </w:rPr>
            </w:pPr>
            <w:r>
              <w:rPr>
                <w:rFonts w:hint="eastAsia"/>
              </w:rPr>
              <w:t>8.4</w:t>
            </w:r>
          </w:p>
        </w:tc>
        <w:tc>
          <w:tcPr>
            <w:tcW w:w="611" w:type="dxa"/>
            <w:vAlign w:val="center"/>
          </w:tcPr>
          <w:p>
            <w:pPr>
              <w:shd w:val="clear" w:color="auto" w:fill="C7DAF1" w:themeFill="text2" w:themeFillTint="32"/>
              <w:rPr>
                <w:lang w:eastAsia="ja-JP"/>
              </w:rPr>
            </w:pPr>
            <w:r>
              <w:rPr>
                <w:rFonts w:hint="eastAsia"/>
              </w:rPr>
              <w:t>8.5</w:t>
            </w:r>
          </w:p>
        </w:tc>
        <w:tc>
          <w:tcPr>
            <w:tcW w:w="612" w:type="dxa"/>
            <w:vAlign w:val="center"/>
          </w:tcPr>
          <w:p>
            <w:pPr>
              <w:shd w:val="clear" w:color="auto" w:fill="C7DAF1" w:themeFill="text2" w:themeFillTint="32"/>
              <w:rPr>
                <w:lang w:eastAsia="ja-JP"/>
              </w:rPr>
            </w:pPr>
            <w:r>
              <w:rPr>
                <w:rFonts w:hint="eastAsia"/>
              </w:rPr>
              <w:t>8.6</w:t>
            </w:r>
          </w:p>
        </w:tc>
        <w:tc>
          <w:tcPr>
            <w:tcW w:w="612"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rFonts w:hint="default" w:ascii="Times New Roman" w:hAnsi="Times New Roman" w:eastAsia="宋体" w:cs="Times New Roman"/>
                <w:kern w:val="2"/>
                <w:sz w:val="21"/>
                <w:szCs w:val="24"/>
                <w:lang w:val="en-US" w:eastAsia="ja-JP" w:bidi="ar-SA"/>
              </w:rPr>
            </w:pPr>
            <w:r>
              <w:rPr>
                <w:rFonts w:hint="eastAsia"/>
                <w:lang w:val="en-US" w:eastAsia="zh-CN"/>
              </w:rPr>
              <w:t>3</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rFonts w:hint="eastAsia" w:eastAsia="宋体"/>
                <w:lang w:val="en-US" w:eastAsia="zh-CN"/>
              </w:rPr>
            </w:pPr>
          </w:p>
        </w:tc>
        <w:tc>
          <w:tcPr>
            <w:tcW w:w="612" w:type="dxa"/>
            <w:vAlign w:val="center"/>
          </w:tcPr>
          <w:p>
            <w:pPr>
              <w:shd w:val="clear" w:color="auto" w:fill="C7DAF1" w:themeFill="text2" w:themeFillTint="32"/>
              <w:rPr>
                <w:lang w:eastAsia="ja-JP"/>
              </w:rPr>
            </w:pPr>
          </w:p>
        </w:tc>
        <w:tc>
          <w:tcPr>
            <w:tcW w:w="611"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1"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12" w:type="dxa"/>
            <w:tcBorders>
              <w:bottom w:val="single" w:color="auto" w:sz="4" w:space="0"/>
            </w:tcBorders>
            <w:vAlign w:val="center"/>
          </w:tcPr>
          <w:p>
            <w:pPr>
              <w:shd w:val="clear" w:color="auto" w:fill="C7DAF1" w:themeFill="text2" w:themeFillTint="32"/>
              <w:rPr>
                <w:lang w:eastAsia="ja-JP"/>
              </w:rPr>
            </w:pPr>
          </w:p>
        </w:tc>
        <w:tc>
          <w:tcPr>
            <w:tcW w:w="612"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标准条款</w:t>
            </w:r>
          </w:p>
        </w:tc>
        <w:tc>
          <w:tcPr>
            <w:tcW w:w="611" w:type="dxa"/>
            <w:vAlign w:val="center"/>
          </w:tcPr>
          <w:p>
            <w:pPr>
              <w:shd w:val="clear" w:color="auto" w:fill="C7DAF1" w:themeFill="text2" w:themeFillTint="32"/>
              <w:rPr>
                <w:lang w:eastAsia="ja-JP"/>
              </w:rPr>
            </w:pPr>
            <w:r>
              <w:rPr>
                <w:rFonts w:hint="eastAsia"/>
              </w:rPr>
              <w:t>9.1</w:t>
            </w:r>
          </w:p>
        </w:tc>
        <w:tc>
          <w:tcPr>
            <w:tcW w:w="612" w:type="dxa"/>
            <w:vAlign w:val="center"/>
          </w:tcPr>
          <w:p>
            <w:pPr>
              <w:shd w:val="clear" w:color="auto" w:fill="C7DAF1" w:themeFill="text2" w:themeFillTint="32"/>
              <w:rPr>
                <w:lang w:eastAsia="ja-JP"/>
              </w:rPr>
            </w:pPr>
            <w:r>
              <w:rPr>
                <w:rFonts w:hint="eastAsia"/>
              </w:rPr>
              <w:t>9.2</w:t>
            </w:r>
          </w:p>
        </w:tc>
        <w:tc>
          <w:tcPr>
            <w:tcW w:w="612" w:type="dxa"/>
            <w:vAlign w:val="center"/>
          </w:tcPr>
          <w:p>
            <w:pPr>
              <w:shd w:val="clear" w:color="auto" w:fill="C7DAF1" w:themeFill="text2" w:themeFillTint="32"/>
              <w:rPr>
                <w:lang w:eastAsia="ja-JP"/>
              </w:rPr>
            </w:pPr>
            <w:r>
              <w:rPr>
                <w:rFonts w:hint="eastAsia"/>
              </w:rPr>
              <w:t>9.3</w:t>
            </w:r>
          </w:p>
        </w:tc>
        <w:tc>
          <w:tcPr>
            <w:tcW w:w="611" w:type="dxa"/>
            <w:vAlign w:val="center"/>
          </w:tcPr>
          <w:p>
            <w:pPr>
              <w:shd w:val="clear" w:color="auto" w:fill="C7DAF1" w:themeFill="text2" w:themeFillTint="32"/>
              <w:rPr>
                <w:lang w:eastAsia="ja-JP"/>
              </w:rPr>
            </w:pPr>
            <w:r>
              <w:rPr>
                <w:rFonts w:hint="eastAsia"/>
              </w:rPr>
              <w:t>10.1</w:t>
            </w:r>
          </w:p>
        </w:tc>
        <w:tc>
          <w:tcPr>
            <w:tcW w:w="612" w:type="dxa"/>
            <w:vAlign w:val="center"/>
          </w:tcPr>
          <w:p>
            <w:pPr>
              <w:shd w:val="clear" w:color="auto" w:fill="C7DAF1" w:themeFill="text2" w:themeFillTint="32"/>
              <w:rPr>
                <w:lang w:eastAsia="ja-JP"/>
              </w:rPr>
            </w:pPr>
            <w:r>
              <w:rPr>
                <w:rFonts w:hint="eastAsia"/>
              </w:rPr>
              <w:t>10.2</w:t>
            </w:r>
          </w:p>
        </w:tc>
        <w:tc>
          <w:tcPr>
            <w:tcW w:w="612" w:type="dxa"/>
            <w:vAlign w:val="center"/>
          </w:tcPr>
          <w:p>
            <w:pPr>
              <w:shd w:val="clear" w:color="auto" w:fill="C7DAF1" w:themeFill="text2" w:themeFillTint="32"/>
              <w:rPr>
                <w:lang w:eastAsia="ja-JP"/>
              </w:rPr>
            </w:pPr>
            <w:r>
              <w:rPr>
                <w:rFonts w:hint="eastAsia"/>
              </w:rPr>
              <w:t>10.3</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271" w:type="dxa"/>
            <w:vAlign w:val="center"/>
          </w:tcPr>
          <w:p>
            <w:pPr>
              <w:shd w:val="clear" w:color="auto" w:fill="C7DAF1" w:themeFill="text2" w:themeFillTint="32"/>
              <w:rPr>
                <w:lang w:eastAsia="ja-JP"/>
              </w:rPr>
            </w:pPr>
            <w:r>
              <w:rPr>
                <w:rFonts w:hint="eastAsia"/>
                <w:lang w:val="en-GB"/>
              </w:rPr>
              <w:t>评价*)</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2" w:type="dxa"/>
            <w:vAlign w:val="center"/>
          </w:tcPr>
          <w:p>
            <w:pPr>
              <w:shd w:val="clear" w:color="auto" w:fill="C7DAF1" w:themeFill="text2" w:themeFillTint="32"/>
              <w:rPr>
                <w:lang w:eastAsia="ja-JP"/>
              </w:rPr>
            </w:pPr>
            <w:r>
              <w:rPr>
                <w:rFonts w:hint="eastAsia"/>
                <w:lang w:val="en-US" w:eastAsia="zh-CN"/>
              </w:rPr>
              <w:t>1</w:t>
            </w: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271" w:type="dxa"/>
            <w:vAlign w:val="center"/>
          </w:tcPr>
          <w:p>
            <w:pPr>
              <w:shd w:val="clear" w:color="auto" w:fill="C7DAF1" w:themeFill="text2" w:themeFillTint="32"/>
              <w:rPr>
                <w:lang w:eastAsia="ja-JP"/>
              </w:rPr>
            </w:pPr>
            <w:r>
              <w:rPr>
                <w:rFonts w:hint="eastAsia"/>
              </w:rPr>
              <w:t>不符合数量</w:t>
            </w: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2" w:type="dxa"/>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1"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c>
          <w:tcPr>
            <w:tcW w:w="612"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sz w:val="20"/>
          <w:szCs w:val="20"/>
        </w:rPr>
      </w:pPr>
    </w:p>
    <w:p>
      <w:pPr>
        <w:spacing w:before="40" w:after="40"/>
        <w:rPr>
          <w:rFonts w:eastAsia="微软雅黑"/>
        </w:rPr>
      </w:pPr>
    </w:p>
    <w:p>
      <w:pPr>
        <w:pStyle w:val="13"/>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673FE6"/>
    <w:rsid w:val="06ED2E0B"/>
    <w:rsid w:val="08273E74"/>
    <w:rsid w:val="0A97461C"/>
    <w:rsid w:val="0B8769D7"/>
    <w:rsid w:val="155A2E44"/>
    <w:rsid w:val="180732A3"/>
    <w:rsid w:val="249F3438"/>
    <w:rsid w:val="2972783E"/>
    <w:rsid w:val="2BEA293F"/>
    <w:rsid w:val="2D390F83"/>
    <w:rsid w:val="3B9F3746"/>
    <w:rsid w:val="4420062B"/>
    <w:rsid w:val="48050DD4"/>
    <w:rsid w:val="4D904F53"/>
    <w:rsid w:val="53FF0DCE"/>
    <w:rsid w:val="5AC02939"/>
    <w:rsid w:val="6065645C"/>
    <w:rsid w:val="60804F84"/>
    <w:rsid w:val="6BBC3C61"/>
    <w:rsid w:val="6FB767E8"/>
    <w:rsid w:val="73217FC1"/>
    <w:rsid w:val="7B4F7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3164</Words>
  <Characters>18036</Characters>
  <Lines>150</Lines>
  <Paragraphs>42</Paragraphs>
  <TotalTime>2</TotalTime>
  <ScaleCrop>false</ScaleCrop>
  <LinksUpToDate>false</LinksUpToDate>
  <CharactersWithSpaces>21158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2021-11-25T15:12:43Z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