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重庆市润盛利自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动化科技有限公司</w:t>
            </w:r>
            <w:bookmarkEnd w:id="0"/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谢宇凌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李林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2021年11月19日 上午至2021年11月19日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91500241MA61BLUC5H</w:t>
            </w:r>
            <w:bookmarkEnd w:id="3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2021年1月13日至永久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数控设备及工业自动化设备电气维修；数控机床电气改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造；数控机床机械项修；数控机床机械大修；数控机床设备搬迁、调试；数控机床设备及配件销售等。     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bookmarkStart w:id="4" w:name="审核范围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机电设备维修（需资质许可要求的除外）</w:t>
            </w:r>
            <w:bookmarkEnd w:id="4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5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重庆市秀山县乌杨街道园区路21号（县工业园区内周转房D栋6-256号）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bookmarkStart w:id="6" w:name="生产地址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>重庆市长寿区江南大道2号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>重庆钢铁股份有限公司轧钢厂内）</w:t>
            </w:r>
            <w:bookmarkEnd w:id="6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default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故障检查——机械、电气维修——更换零配件——调试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29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eastAsia="zh-CN"/>
              </w:rPr>
              <w:t>2021年4月10日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eastAsia="zh-CN"/>
              </w:rPr>
              <w:t>2021年4月10日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：  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highlight w:val="none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 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贯彻情况：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文件发放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展板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网站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员工手册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2"/>
              <w:gridCol w:w="1118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11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2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维修服务处理率达到100%</w:t>
                  </w:r>
                </w:p>
              </w:tc>
              <w:tc>
                <w:tcPr>
                  <w:tcW w:w="111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val="en-US" w:eastAsia="zh-CN"/>
                    </w:rPr>
                    <w:t>维修服务处理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eastAsia="zh-CN"/>
                    </w:rPr>
                    <w:t>数/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val="en-US" w:eastAsia="zh-CN"/>
                    </w:rPr>
                    <w:t>服务总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eastAsia="zh-CN"/>
                    </w:rPr>
                    <w:t>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2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合同履约率100％</w:t>
                  </w:r>
                </w:p>
              </w:tc>
              <w:tc>
                <w:tcPr>
                  <w:tcW w:w="111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合同履约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数/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签订合同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2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顾客满意率达到≥90%</w:t>
                  </w:r>
                  <w:bookmarkStart w:id="7" w:name="_GoBack"/>
                  <w:bookmarkEnd w:id="7"/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以上</w:t>
                  </w:r>
                </w:p>
              </w:tc>
              <w:tc>
                <w:tcPr>
                  <w:tcW w:w="111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顾客满意度=∑n1+n2+n3+……+ni/n×100%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111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2021年09月10日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8.3条款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公司的维修服务都是按国家及行业标准及客户要求进行服务，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  <w:r>
              <w:rPr>
                <w:rFonts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  维修服务过程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维修服务作业指导书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维修服务过程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满意率98%</w:t>
            </w:r>
            <w:r>
              <w:rPr>
                <w:color w:val="000000"/>
                <w:highlight w:val="none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磨床</w:t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>MK84160、磨床MK84125、磨床MK84220、磨床MK84200等9台套</w:t>
            </w:r>
            <w:r>
              <w:rPr>
                <w:color w:val="000000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游标卡尺、万用表</w:t>
            </w:r>
            <w:r>
              <w:rPr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未能提供有效的检定或校准证书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41252"/>
    <w:rsid w:val="0BAD28E2"/>
    <w:rsid w:val="0BBE3BD1"/>
    <w:rsid w:val="0C7229EF"/>
    <w:rsid w:val="0F3F5F47"/>
    <w:rsid w:val="1888270D"/>
    <w:rsid w:val="1D1A3B4F"/>
    <w:rsid w:val="24961512"/>
    <w:rsid w:val="263E08AF"/>
    <w:rsid w:val="274F1685"/>
    <w:rsid w:val="2A726D79"/>
    <w:rsid w:val="2C5D5807"/>
    <w:rsid w:val="320A7897"/>
    <w:rsid w:val="344F1ED9"/>
    <w:rsid w:val="36F56D67"/>
    <w:rsid w:val="38EA6674"/>
    <w:rsid w:val="3AE816F3"/>
    <w:rsid w:val="3E1A3557"/>
    <w:rsid w:val="3E356663"/>
    <w:rsid w:val="3EE015C8"/>
    <w:rsid w:val="44DA57EF"/>
    <w:rsid w:val="45806396"/>
    <w:rsid w:val="469A6FE4"/>
    <w:rsid w:val="4C216DAA"/>
    <w:rsid w:val="4E102281"/>
    <w:rsid w:val="4EFB4CDF"/>
    <w:rsid w:val="4FCB6460"/>
    <w:rsid w:val="53F00B8B"/>
    <w:rsid w:val="556C3630"/>
    <w:rsid w:val="55EB4A05"/>
    <w:rsid w:val="583542C0"/>
    <w:rsid w:val="589C308F"/>
    <w:rsid w:val="5A9C11A2"/>
    <w:rsid w:val="5AFC13E1"/>
    <w:rsid w:val="611C2FBF"/>
    <w:rsid w:val="65A417D5"/>
    <w:rsid w:val="66AC6B93"/>
    <w:rsid w:val="682B3AE8"/>
    <w:rsid w:val="68824CC1"/>
    <w:rsid w:val="69382960"/>
    <w:rsid w:val="69692A54"/>
    <w:rsid w:val="6D8E6FF3"/>
    <w:rsid w:val="71FD4747"/>
    <w:rsid w:val="729B5D0E"/>
    <w:rsid w:val="74312486"/>
    <w:rsid w:val="746D7236"/>
    <w:rsid w:val="74CE23CA"/>
    <w:rsid w:val="755F3023"/>
    <w:rsid w:val="760E61F5"/>
    <w:rsid w:val="7D4551F4"/>
    <w:rsid w:val="7DD10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2021-11-23T03:40:29Z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