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重庆市润盛利自动化科技有限公司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重庆市秀山县乌杨街道园区路21号（县工业园区内周转房D栋6-256号）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重庆钢铁股份有限公司轧钢厂（厂内）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1198-2021-Q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11" w:name="联系人"/>
            <w:r>
              <w:rPr>
                <w:rFonts w:ascii="Times New Roman" w:hAnsi="Times New Roman" w:cs="Times New Roman"/>
                <w:sz w:val="21"/>
                <w:szCs w:val="21"/>
              </w:rPr>
              <w:t>彭建勇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13508133911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229055145@qq.com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彭建勇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一阶段非现场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6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7" w:name="审核范围"/>
            <w:r>
              <w:t>机电设备维修（需资质许可要求的除外）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8" w:name="专业代码"/>
            <w:r>
              <w:t>18.08.00;19.16.00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2021年11月19日 上午至2021年11月19日 上午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2019-N1QMS-1242345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18.08.00,19.16.00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inline distT="0" distB="0" distL="114300" distR="114300">
                  <wp:extent cx="508635" cy="262255"/>
                  <wp:effectExtent l="0" t="0" r="5715" b="4445"/>
                  <wp:docPr id="2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2021.11.16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817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11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19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首次会议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9:00-9:30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合同基本信息确认: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确定审核范围的合理性（地址、产品/服务）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确定多现场和临时现场的地址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确定有效的员工人数 </w:t>
            </w:r>
            <w:bookmarkStart w:id="28" w:name="_GoBack"/>
            <w:bookmarkEnd w:id="28"/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生产、服务的班次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体系运行时间是否满足3个月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9:30-10:00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了解企业基本情况：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组织环境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主要的相关方和期望 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风险的识别和评价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组织机构的设置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外部提供过程、产品和服务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被主管部门处罚和曝光情况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其他机构转入情况（适用时）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10:30-11:00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文件化体系策划情况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管理手册；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文件化的程序；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作业文件；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记录表格</w:t>
            </w:r>
          </w:p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QMS运行情况：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确认不适用条款及合理的理由                   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了解质量关键控制点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了解关键过程和需要确认的过程及控制情况；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了解产品执行的标准或技术要求；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查看型式检验的证据（报告）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了解顾客投诉处理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了解顾客满意度的情况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QMS场所巡查: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巡视生产区域（厂区、车间、库房、实验室等）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确认生产/服务流程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观察基础设施（生产设备）运行完好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观察工作环境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各管理体系的运行情况：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管理方针制定与贯彻情况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管理目标及完成统计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相关方/客户的反馈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内审的策划和实施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管理体系的评审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对多场所/临时场所建立的控制的水平（适用时）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817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末次会议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502FE2"/>
    <w:rsid w:val="17A745D4"/>
    <w:rsid w:val="1AB650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Administrator</cp:lastModifiedBy>
  <cp:lastPrinted>2019-03-27T03:10:00Z</cp:lastPrinted>
  <dcterms:modified xsi:type="dcterms:W3CDTF">2021-11-22T01:15:25Z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