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b/>
          <w:bCs/>
          <w:sz w:val="32"/>
          <w:szCs w:val="32"/>
          <w:u w:val="single"/>
        </w:rPr>
        <w:t>江苏通鼎光电科技有限公司</w:t>
      </w:r>
      <w:bookmarkEnd w:id="1"/>
    </w:p>
    <w:p>
      <w:pPr>
        <w:spacing w:line="360" w:lineRule="auto"/>
        <w:jc w:val="left"/>
        <w:rPr>
          <w:rFonts w:hint="default" w:ascii="宋体" w:hAnsi="宋体" w:eastAsiaTheme="minorEastAsia"/>
          <w:spacing w:val="32"/>
          <w:sz w:val="32"/>
          <w:u w:val="single"/>
          <w:lang w:val="en-US" w:eastAsia="zh-CN"/>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b/>
          <w:bCs/>
          <w:sz w:val="32"/>
          <w:u w:val="single"/>
        </w:rPr>
        <w:t>0102-2017-2021</w:t>
      </w:r>
      <w:bookmarkEnd w:id="2"/>
      <w:r>
        <w:rPr>
          <w:rFonts w:hint="eastAsia" w:ascii="宋体" w:hAnsi="宋体"/>
          <w:b/>
          <w:bCs/>
          <w:sz w:val="32"/>
          <w:u w:val="single"/>
          <w:lang w:val="en-US" w:eastAsia="zh-CN"/>
        </w:rPr>
        <w:t xml:space="preserve">         </w:t>
      </w:r>
    </w:p>
    <w:p>
      <w:pPr>
        <w:spacing w:line="360" w:lineRule="auto"/>
        <w:jc w:val="left"/>
        <w:rPr>
          <w:rFonts w:hint="default" w:ascii="宋体" w:hAnsi="宋体" w:eastAsiaTheme="minorEastAsia"/>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宋体" w:hAnsi="宋体"/>
          <w:b/>
          <w:bCs/>
          <w:sz w:val="32"/>
          <w:u w:val="single"/>
        </w:rPr>
        <w:t>年度监督审核</w:t>
      </w:r>
      <w:r>
        <w:rPr>
          <w:rFonts w:hint="eastAsia" w:ascii="宋体" w:hAnsi="宋体"/>
          <w:b/>
          <w:bCs/>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0102-2017-2021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江苏通鼎光电科技有限公司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孟旭东</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ISC-2017-0184</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2022-12-10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四</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2021年11月25日</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ascii="宋体" w:hAnsi="宋体"/>
                <w:color w:val="000000"/>
                <w:szCs w:val="21"/>
                <w:shd w:val="clear" w:color="auto" w:fill="auto"/>
              </w:rPr>
            </w:pPr>
            <w:r>
              <w:rPr>
                <w:rFonts w:ascii="宋体" w:hAnsi="宋体"/>
                <w:szCs w:val="21"/>
              </w:rPr>
              <w:t>黄金荣</w:t>
            </w:r>
            <w:r>
              <w:rPr>
                <w:rFonts w:hint="eastAsia" w:ascii="宋体" w:hAnsi="宋体"/>
                <w:szCs w:val="21"/>
                <w:lang w:eastAsia="zh-CN"/>
              </w:rPr>
              <w:t>，</w:t>
            </w:r>
            <w:r>
              <w:rPr>
                <w:rFonts w:ascii="宋体" w:hAnsi="宋体"/>
                <w:color w:val="000000"/>
                <w:szCs w:val="21"/>
                <w:shd w:val="clear" w:color="auto" w:fill="auto"/>
              </w:rPr>
              <w:t>2021-M1MMS-2227641</w:t>
            </w:r>
          </w:p>
          <w:p>
            <w:pPr>
              <w:tabs>
                <w:tab w:val="left" w:pos="880"/>
              </w:tabs>
              <w:autoSpaceDE w:val="0"/>
              <w:autoSpaceDN w:val="0"/>
              <w:adjustRightInd w:val="0"/>
              <w:spacing w:before="35" w:line="276" w:lineRule="auto"/>
              <w:ind w:right="161"/>
              <w:rPr>
                <w:rFonts w:ascii="宋体" w:hAnsi="宋体"/>
                <w:color w:val="000000"/>
                <w:szCs w:val="21"/>
                <w:shd w:val="clear" w:color="auto" w:fill="auto"/>
              </w:rPr>
            </w:pPr>
            <w:r>
              <w:rPr>
                <w:rFonts w:hint="eastAsia" w:ascii="宋体" w:hAnsi="宋体"/>
                <w:color w:val="000000"/>
                <w:szCs w:val="21"/>
              </w:rPr>
              <w:t>ISC[S]0062</w:t>
            </w:r>
          </w:p>
          <w:p>
            <w:pPr>
              <w:tabs>
                <w:tab w:val="left" w:pos="880"/>
              </w:tabs>
              <w:autoSpaceDE w:val="0"/>
              <w:autoSpaceDN w:val="0"/>
              <w:adjustRightInd w:val="0"/>
              <w:spacing w:before="35" w:line="276" w:lineRule="auto"/>
              <w:ind w:right="161"/>
              <w:rPr>
                <w:rFonts w:ascii="宋体" w:hAnsi="宋体"/>
                <w:color w:val="000000"/>
                <w:szCs w:val="21"/>
                <w:shd w:val="clear" w:color="auto" w:fill="auto"/>
              </w:rPr>
            </w:pPr>
            <w:r>
              <w:rPr>
                <w:rFonts w:ascii="宋体" w:hAnsi="宋体"/>
                <w:szCs w:val="21"/>
              </w:rPr>
              <w:t>袁菊</w:t>
            </w:r>
            <w:r>
              <w:rPr>
                <w:rFonts w:hint="eastAsia" w:ascii="宋体" w:hAnsi="宋体"/>
                <w:szCs w:val="21"/>
                <w:lang w:eastAsia="zh-CN"/>
              </w:rPr>
              <w:t>，</w:t>
            </w:r>
            <w:r>
              <w:rPr>
                <w:rFonts w:ascii="宋体" w:hAnsi="宋体"/>
                <w:color w:val="000000"/>
                <w:szCs w:val="21"/>
                <w:shd w:val="clear" w:color="auto" w:fill="auto"/>
              </w:rPr>
              <w:t>2021-M1MMS-2274447</w:t>
            </w:r>
          </w:p>
          <w:p>
            <w:pPr>
              <w:tabs>
                <w:tab w:val="left" w:pos="880"/>
              </w:tabs>
              <w:autoSpaceDE w:val="0"/>
              <w:autoSpaceDN w:val="0"/>
              <w:adjustRightInd w:val="0"/>
              <w:spacing w:before="35" w:line="276" w:lineRule="auto"/>
              <w:ind w:right="161"/>
              <w:rPr>
                <w:rFonts w:ascii="宋体" w:hAnsi="宋体"/>
                <w:color w:val="000000"/>
                <w:szCs w:val="21"/>
                <w:shd w:val="clear" w:color="auto" w:fill="auto"/>
              </w:rPr>
            </w:pPr>
            <w:r>
              <w:rPr>
                <w:rFonts w:hint="eastAsia" w:ascii="宋体" w:hAnsi="宋体"/>
                <w:color w:val="000000"/>
                <w:szCs w:val="21"/>
              </w:rPr>
              <w:t>ISC[S]0258</w:t>
            </w:r>
          </w:p>
          <w:p>
            <w:pPr>
              <w:tabs>
                <w:tab w:val="left" w:pos="880"/>
              </w:tabs>
              <w:autoSpaceDE w:val="0"/>
              <w:autoSpaceDN w:val="0"/>
              <w:adjustRightInd w:val="0"/>
              <w:spacing w:before="35" w:line="276" w:lineRule="auto"/>
              <w:ind w:right="161"/>
              <w:rPr>
                <w:rFonts w:ascii="宋体" w:hAnsi="宋体"/>
                <w:szCs w:val="21"/>
              </w:rPr>
            </w:pP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jc w:val="center"/>
              <w:rPr>
                <w:rFonts w:hint="eastAsia" w:ascii="宋体" w:hAnsi="宋体" w:cs="宋体"/>
                <w:color w:val="FF0000"/>
                <w:kern w:val="0"/>
                <w:szCs w:val="21"/>
                <w:highlight w:val="none"/>
                <w:lang w:val="en-US" w:eastAsia="zh-CN"/>
              </w:rPr>
            </w:pPr>
            <w:r>
              <w:rPr>
                <w:rFonts w:hint="eastAsia" w:ascii="宋体" w:hAnsi="宋体"/>
                <w:color w:val="auto"/>
                <w:szCs w:val="21"/>
                <w:highlight w:val="none"/>
                <w:lang w:val="en-US" w:eastAsia="zh-CN"/>
              </w:rPr>
              <w:t>管理层/</w:t>
            </w:r>
            <w:r>
              <w:rPr>
                <w:rFonts w:hint="eastAsia" w:ascii="宋体" w:hAnsi="宋体"/>
                <w:color w:val="auto"/>
                <w:szCs w:val="21"/>
                <w:highlight w:val="none"/>
              </w:rPr>
              <w:t>管理者代表</w:t>
            </w:r>
            <w:r>
              <w:rPr>
                <w:rFonts w:hint="eastAsia" w:ascii="宋体" w:hAnsi="宋体"/>
                <w:color w:val="auto"/>
                <w:szCs w:val="21"/>
                <w:highlight w:val="none"/>
                <w:lang w:eastAsia="zh-CN"/>
              </w:rPr>
              <w:t>、质量</w:t>
            </w:r>
            <w:r>
              <w:rPr>
                <w:rFonts w:hint="eastAsia" w:ascii="宋体" w:hAnsi="宋体"/>
                <w:color w:val="auto"/>
                <w:szCs w:val="21"/>
                <w:highlight w:val="none"/>
                <w:lang w:val="en-US" w:eastAsia="zh-CN"/>
              </w:rPr>
              <w:t>部</w:t>
            </w:r>
            <w:r>
              <w:rPr>
                <w:rFonts w:hint="eastAsia" w:ascii="宋体" w:hAnsi="宋体" w:cs="宋体"/>
                <w:kern w:val="0"/>
                <w:szCs w:val="21"/>
                <w:highlight w:val="none"/>
                <w:lang w:val="en-US" w:eastAsia="zh-CN"/>
              </w:rPr>
              <w:t>、</w:t>
            </w:r>
          </w:p>
          <w:p>
            <w:pPr>
              <w:tabs>
                <w:tab w:val="left" w:pos="880"/>
              </w:tabs>
              <w:autoSpaceDE w:val="0"/>
              <w:autoSpaceDN w:val="0"/>
              <w:adjustRightInd w:val="0"/>
              <w:spacing w:before="35" w:line="360" w:lineRule="auto"/>
              <w:ind w:right="161"/>
              <w:rPr>
                <w:rFonts w:hint="default" w:cs="宋体" w:asciiTheme="minorEastAsia" w:hAnsiTheme="minorEastAsia"/>
                <w:kern w:val="0"/>
                <w:szCs w:val="21"/>
                <w:lang w:val="en-US"/>
              </w:rPr>
            </w:pPr>
            <w:r>
              <w:rPr>
                <w:rFonts w:hint="eastAsia" w:ascii="宋体" w:hAnsi="宋体" w:cs="宋体"/>
                <w:color w:val="auto"/>
                <w:kern w:val="0"/>
                <w:szCs w:val="21"/>
                <w:highlight w:val="none"/>
                <w:lang w:val="en-US" w:eastAsia="zh-CN"/>
              </w:rPr>
              <w:t>商务部、设备部、生产部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numPr>
          <w:ilvl w:val="0"/>
          <w:numId w:val="0"/>
        </w:numPr>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一年来，公司日常运行中生产、经营、安全、及管理方面比去年都有很大提升，企业制定了多项生产管理文件、制度，测量管理体系理念更加深入人心，企业未有违反法律、法规问题和产品质量问题的投诉或重大质量事故发生。公司一年来重点做了以下工作：</w:t>
      </w:r>
    </w:p>
    <w:p>
      <w:pPr>
        <w:spacing w:line="360" w:lineRule="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rPr>
        <w:t xml:space="preserve">1.1 </w:t>
      </w:r>
      <w:r>
        <w:rPr>
          <w:rFonts w:hint="eastAsia" w:asciiTheme="majorEastAsia" w:hAnsiTheme="majorEastAsia" w:eastAsiaTheme="majorEastAsia" w:cstheme="majorEastAsia"/>
          <w:bCs/>
          <w:color w:val="auto"/>
          <w:kern w:val="0"/>
          <w:sz w:val="24"/>
          <w:szCs w:val="24"/>
          <w:highlight w:val="none"/>
        </w:rPr>
        <w:t>公司测量管理体系</w:t>
      </w:r>
      <w:r>
        <w:rPr>
          <w:rFonts w:hint="eastAsia" w:asciiTheme="majorEastAsia" w:hAnsiTheme="majorEastAsia" w:eastAsiaTheme="majorEastAsia" w:cstheme="majorEastAsia"/>
          <w:bCs/>
          <w:color w:val="auto"/>
          <w:kern w:val="0"/>
          <w:sz w:val="24"/>
          <w:szCs w:val="24"/>
          <w:highlight w:val="none"/>
          <w:lang w:val="en-US" w:eastAsia="zh-CN"/>
        </w:rPr>
        <w:t>通过</w:t>
      </w:r>
      <w:r>
        <w:rPr>
          <w:rFonts w:hint="eastAsia" w:asciiTheme="majorEastAsia" w:hAnsiTheme="majorEastAsia" w:eastAsiaTheme="majorEastAsia" w:cstheme="majorEastAsia"/>
          <w:bCs/>
          <w:color w:val="auto"/>
          <w:kern w:val="0"/>
          <w:sz w:val="24"/>
          <w:szCs w:val="24"/>
          <w:highlight w:val="none"/>
        </w:rPr>
        <w:t>认证后，</w:t>
      </w:r>
      <w:r>
        <w:rPr>
          <w:rFonts w:hint="eastAsia" w:ascii="宋体" w:hAnsi="宋体" w:eastAsia="宋体" w:cs="宋体"/>
          <w:bCs/>
          <w:color w:val="auto"/>
          <w:kern w:val="0"/>
          <w:sz w:val="24"/>
          <w:szCs w:val="24"/>
          <w:highlight w:val="none"/>
          <w:lang w:val="en-US" w:eastAsia="zh-CN"/>
        </w:rPr>
        <w:t>一年来企业</w:t>
      </w:r>
      <w:r>
        <w:rPr>
          <w:rFonts w:hint="eastAsia" w:ascii="宋体" w:hAnsi="宋体" w:eastAsia="宋体" w:cs="宋体"/>
          <w:bCs/>
          <w:color w:val="auto"/>
          <w:kern w:val="0"/>
          <w:sz w:val="24"/>
          <w:szCs w:val="24"/>
          <w:highlight w:val="none"/>
        </w:rPr>
        <w:t>重点</w:t>
      </w:r>
      <w:r>
        <w:rPr>
          <w:rFonts w:hint="eastAsia" w:ascii="宋体" w:hAnsi="宋体" w:eastAsia="宋体" w:cs="宋体"/>
          <w:bCs/>
          <w:color w:val="auto"/>
          <w:kern w:val="0"/>
          <w:sz w:val="24"/>
          <w:szCs w:val="24"/>
          <w:highlight w:val="none"/>
          <w:lang w:val="en-US" w:eastAsia="zh-CN"/>
        </w:rPr>
        <w:t>关注</w:t>
      </w:r>
      <w:r>
        <w:rPr>
          <w:rFonts w:hint="eastAsia" w:ascii="宋体" w:hAnsi="宋体" w:eastAsia="宋体" w:cs="宋体"/>
          <w:bCs/>
          <w:color w:val="auto"/>
          <w:kern w:val="0"/>
          <w:sz w:val="24"/>
          <w:szCs w:val="24"/>
          <w:highlight w:val="none"/>
        </w:rPr>
        <w:t>原材料检验、产品出厂检验等测量过程及测量设备量值溯源。</w:t>
      </w:r>
      <w:r>
        <w:rPr>
          <w:rFonts w:hint="eastAsia" w:ascii="宋体" w:hAnsi="宋体" w:eastAsia="宋体" w:cs="宋体"/>
          <w:bCs/>
          <w:color w:val="auto"/>
          <w:kern w:val="0"/>
          <w:sz w:val="24"/>
          <w:szCs w:val="24"/>
          <w:highlight w:val="none"/>
          <w:lang w:val="en-US" w:eastAsia="zh-CN"/>
        </w:rPr>
        <w:t>企业</w:t>
      </w:r>
      <w:r>
        <w:rPr>
          <w:rFonts w:hint="eastAsia" w:ascii="宋体" w:hAnsi="宋体" w:eastAsia="宋体" w:cs="宋体"/>
          <w:bCs/>
          <w:color w:val="auto"/>
          <w:kern w:val="0"/>
          <w:sz w:val="24"/>
          <w:szCs w:val="24"/>
          <w:highlight w:val="none"/>
        </w:rPr>
        <w:t>测量设备</w:t>
      </w:r>
      <w:r>
        <w:rPr>
          <w:rFonts w:hint="eastAsia" w:ascii="宋体" w:hAnsi="宋体" w:eastAsia="宋体" w:cs="宋体"/>
          <w:bCs/>
          <w:color w:val="auto"/>
          <w:kern w:val="0"/>
          <w:sz w:val="24"/>
          <w:szCs w:val="24"/>
          <w:highlight w:val="none"/>
          <w:lang w:val="en-US" w:eastAsia="zh-CN"/>
        </w:rPr>
        <w:t>按照检定/校准计划</w:t>
      </w:r>
      <w:r>
        <w:rPr>
          <w:rFonts w:hint="eastAsia" w:ascii="宋体" w:hAnsi="宋体" w:eastAsia="宋体" w:cs="宋体"/>
          <w:bCs/>
          <w:color w:val="auto"/>
          <w:kern w:val="0"/>
          <w:sz w:val="24"/>
          <w:szCs w:val="24"/>
          <w:highlight w:val="none"/>
        </w:rPr>
        <w:t>送到有资质的检定/校准机构检定/校准。</w:t>
      </w:r>
      <w:r>
        <w:rPr>
          <w:rFonts w:hint="eastAsia" w:ascii="宋体" w:hAnsi="宋体" w:eastAsia="宋体" w:cs="宋体"/>
          <w:bCs/>
          <w:color w:val="auto"/>
          <w:kern w:val="0"/>
          <w:sz w:val="24"/>
          <w:szCs w:val="24"/>
          <w:highlight w:val="none"/>
          <w:lang w:val="en-US" w:eastAsia="zh-CN"/>
        </w:rPr>
        <w:t>对校准后的测量设备进行验证。对关键测量过程进行</w:t>
      </w:r>
      <w:r>
        <w:rPr>
          <w:rFonts w:hint="eastAsia" w:ascii="宋体" w:hAnsi="宋体" w:eastAsia="宋体" w:cs="宋体"/>
          <w:bCs/>
          <w:color w:val="auto"/>
          <w:kern w:val="0"/>
          <w:sz w:val="24"/>
          <w:szCs w:val="24"/>
          <w:highlight w:val="none"/>
        </w:rPr>
        <w:t>不确定度评定、有效性确认</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对关键测量过程应用统计技术按照规定的监视周期进行</w:t>
      </w:r>
      <w:r>
        <w:rPr>
          <w:rFonts w:hint="eastAsia" w:ascii="宋体" w:hAnsi="宋体" w:eastAsia="宋体" w:cs="宋体"/>
          <w:bCs/>
          <w:color w:val="auto"/>
          <w:kern w:val="0"/>
          <w:sz w:val="24"/>
          <w:szCs w:val="24"/>
          <w:highlight w:val="none"/>
        </w:rPr>
        <w:t>监视与统计</w:t>
      </w:r>
      <w:r>
        <w:rPr>
          <w:rFonts w:hint="eastAsia" w:ascii="宋体" w:hAnsi="宋体" w:eastAsia="宋体" w:cs="宋体"/>
          <w:bCs/>
          <w:color w:val="auto"/>
          <w:kern w:val="0"/>
          <w:sz w:val="24"/>
          <w:szCs w:val="24"/>
          <w:highlight w:val="none"/>
          <w:lang w:eastAsia="zh-CN"/>
        </w:rPr>
        <w:t>。</w:t>
      </w:r>
    </w:p>
    <w:p>
      <w:pPr>
        <w:spacing w:line="360" w:lineRule="auto"/>
        <w:rPr>
          <w:rFonts w:hint="default" w:asciiTheme="majorEastAsia" w:hAnsiTheme="majorEastAsia" w:eastAsiaTheme="majorEastAsia" w:cstheme="majorEastAsia"/>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1.2</w:t>
      </w:r>
      <w:r>
        <w:rPr>
          <w:rFonts w:hint="eastAsia" w:ascii="宋体" w:hAnsi="宋体" w:eastAsia="宋体" w:cs="宋体"/>
          <w:bCs/>
          <w:color w:val="auto"/>
          <w:kern w:val="0"/>
          <w:sz w:val="24"/>
          <w:szCs w:val="24"/>
          <w:highlight w:val="none"/>
        </w:rPr>
        <w:t>公司领导层重视</w:t>
      </w:r>
      <w:r>
        <w:rPr>
          <w:rFonts w:hint="eastAsia" w:asciiTheme="majorEastAsia" w:hAnsiTheme="majorEastAsia" w:eastAsiaTheme="majorEastAsia" w:cstheme="majorEastAsia"/>
          <w:bCs/>
          <w:color w:val="auto"/>
          <w:kern w:val="0"/>
          <w:sz w:val="24"/>
          <w:szCs w:val="24"/>
          <w:highlight w:val="none"/>
        </w:rPr>
        <w:t>测量管理体系各项工作，配备完善了相关资源和设备</w:t>
      </w:r>
      <w:r>
        <w:rPr>
          <w:rFonts w:hint="eastAsia" w:asciiTheme="majorEastAsia" w:hAnsiTheme="majorEastAsia" w:eastAsiaTheme="majorEastAsia" w:cstheme="majorEastAsia"/>
          <w:bCs/>
          <w:color w:val="auto"/>
          <w:kern w:val="0"/>
          <w:sz w:val="24"/>
          <w:szCs w:val="24"/>
          <w:highlight w:val="none"/>
          <w:lang w:val="en-US" w:eastAsia="zh-CN"/>
        </w:rPr>
        <w:t>。企业根据测量体系质量方针，</w:t>
      </w:r>
      <w:r>
        <w:rPr>
          <w:rFonts w:hint="eastAsia" w:asciiTheme="majorEastAsia" w:hAnsiTheme="majorEastAsia" w:eastAsiaTheme="majorEastAsia" w:cstheme="majorEastAsia"/>
          <w:bCs/>
          <w:color w:val="auto"/>
          <w:kern w:val="0"/>
          <w:sz w:val="24"/>
          <w:szCs w:val="24"/>
          <w:highlight w:val="none"/>
        </w:rPr>
        <w:t>公司制定了</w:t>
      </w:r>
      <w:r>
        <w:rPr>
          <w:rFonts w:hint="eastAsia" w:asciiTheme="majorEastAsia" w:hAnsiTheme="majorEastAsia" w:eastAsiaTheme="majorEastAsia" w:cstheme="majorEastAsia"/>
          <w:bCs/>
          <w:color w:val="auto"/>
          <w:kern w:val="0"/>
          <w:sz w:val="24"/>
          <w:szCs w:val="24"/>
          <w:highlight w:val="none"/>
          <w:lang w:val="en-US" w:eastAsia="zh-CN"/>
        </w:rPr>
        <w:t>5</w:t>
      </w:r>
      <w:r>
        <w:rPr>
          <w:rFonts w:hint="eastAsia" w:asciiTheme="majorEastAsia" w:hAnsiTheme="majorEastAsia" w:eastAsiaTheme="majorEastAsia" w:cstheme="majorEastAsia"/>
          <w:bCs/>
          <w:color w:val="auto"/>
          <w:kern w:val="0"/>
          <w:sz w:val="24"/>
          <w:szCs w:val="24"/>
          <w:highlight w:val="none"/>
        </w:rPr>
        <w:t>项质量目标，质量目标有具体考核</w:t>
      </w:r>
      <w:r>
        <w:rPr>
          <w:rFonts w:hint="eastAsia" w:asciiTheme="majorEastAsia" w:hAnsiTheme="majorEastAsia" w:eastAsiaTheme="majorEastAsia" w:cstheme="majorEastAsia"/>
          <w:bCs/>
          <w:color w:val="auto"/>
          <w:kern w:val="0"/>
          <w:sz w:val="24"/>
          <w:szCs w:val="24"/>
          <w:highlight w:val="none"/>
          <w:lang w:eastAsia="zh-CN"/>
        </w:rPr>
        <w:t>，</w:t>
      </w:r>
      <w:r>
        <w:rPr>
          <w:rFonts w:hint="eastAsia" w:asciiTheme="majorEastAsia" w:hAnsiTheme="majorEastAsia" w:eastAsiaTheme="majorEastAsia" w:cstheme="majorEastAsia"/>
          <w:bCs/>
          <w:color w:val="auto"/>
          <w:kern w:val="0"/>
          <w:sz w:val="24"/>
          <w:szCs w:val="24"/>
          <w:highlight w:val="none"/>
        </w:rPr>
        <w:t>指标可测量，</w:t>
      </w:r>
      <w:r>
        <w:rPr>
          <w:rFonts w:hint="eastAsia" w:asciiTheme="majorEastAsia" w:hAnsiTheme="majorEastAsia" w:eastAsiaTheme="majorEastAsia" w:cstheme="majorEastAsia"/>
          <w:bCs/>
          <w:color w:val="auto"/>
          <w:kern w:val="0"/>
          <w:sz w:val="24"/>
          <w:szCs w:val="24"/>
          <w:highlight w:val="none"/>
          <w:lang w:val="en-US" w:eastAsia="zh-CN"/>
        </w:rPr>
        <w:t>企业编制了《计量目标分解方案》，质量目标分解到各部门。经统计2021年1月至9月份</w:t>
      </w:r>
      <w:r>
        <w:rPr>
          <w:rFonts w:hint="eastAsia" w:asciiTheme="majorEastAsia" w:hAnsiTheme="majorEastAsia" w:eastAsiaTheme="majorEastAsia" w:cstheme="majorEastAsia"/>
          <w:bCs/>
          <w:color w:val="auto"/>
          <w:kern w:val="0"/>
          <w:sz w:val="24"/>
          <w:szCs w:val="24"/>
          <w:highlight w:val="none"/>
        </w:rPr>
        <w:t>质量目标</w:t>
      </w:r>
      <w:r>
        <w:rPr>
          <w:rFonts w:hint="eastAsia" w:asciiTheme="majorEastAsia" w:hAnsiTheme="majorEastAsia" w:eastAsiaTheme="majorEastAsia" w:cstheme="majorEastAsia"/>
          <w:bCs/>
          <w:color w:val="auto"/>
          <w:kern w:val="0"/>
          <w:sz w:val="24"/>
          <w:szCs w:val="24"/>
          <w:highlight w:val="none"/>
          <w:lang w:val="en-US" w:eastAsia="zh-CN"/>
        </w:rPr>
        <w:t>全部</w:t>
      </w:r>
      <w:r>
        <w:rPr>
          <w:rFonts w:hint="eastAsia" w:asciiTheme="majorEastAsia" w:hAnsiTheme="majorEastAsia" w:eastAsiaTheme="majorEastAsia" w:cstheme="majorEastAsia"/>
          <w:bCs/>
          <w:color w:val="auto"/>
          <w:kern w:val="0"/>
          <w:sz w:val="24"/>
          <w:szCs w:val="24"/>
          <w:highlight w:val="none"/>
        </w:rPr>
        <w:t>完成。</w:t>
      </w:r>
      <w:r>
        <w:rPr>
          <w:rFonts w:hint="eastAsia" w:asciiTheme="majorEastAsia" w:hAnsiTheme="majorEastAsia" w:eastAsiaTheme="majorEastAsia" w:cstheme="majorEastAsia"/>
          <w:bCs/>
          <w:color w:val="auto"/>
          <w:kern w:val="0"/>
          <w:sz w:val="24"/>
          <w:szCs w:val="24"/>
          <w:highlight w:val="none"/>
          <w:lang w:val="en-US" w:eastAsia="zh-CN"/>
        </w:rPr>
        <w:t>测量管理体系的符合性、有效性及持续改进，符合GB/T 19022-2003标准要求，公司测量管理体系正常有序运行，较好地满足了公司可持续发展的需要。企业效益逐年提高。</w:t>
      </w:r>
    </w:p>
    <w:p>
      <w:pPr>
        <w:spacing w:line="360" w:lineRule="auto"/>
        <w:rPr>
          <w:rFonts w:hint="eastAsia" w:asciiTheme="majorEastAsia" w:hAnsiTheme="majorEastAsia" w:eastAsiaTheme="majorEastAsia" w:cstheme="majorEastAsia"/>
          <w:color w:val="auto"/>
          <w:sz w:val="24"/>
          <w:szCs w:val="24"/>
        </w:rPr>
      </w:pPr>
    </w:p>
    <w:p>
      <w:pPr>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2.内部审核和管理评审的情况：</w:t>
      </w: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2.1公司于2021年11月1日至11月2日组织了公司测量管理体系内部审核，</w:t>
      </w:r>
      <w:r>
        <w:rPr>
          <w:rFonts w:hint="eastAsia" w:asciiTheme="majorEastAsia" w:hAnsiTheme="majorEastAsia" w:eastAsiaTheme="majorEastAsia" w:cstheme="majorEastAsia"/>
          <w:bCs/>
          <w:color w:val="auto"/>
          <w:kern w:val="0"/>
          <w:sz w:val="24"/>
          <w:szCs w:val="24"/>
          <w:highlight w:val="none"/>
          <w:lang w:val="en-US" w:eastAsia="zh-CN"/>
        </w:rPr>
        <w:t>内审分2个组，对公司7个部门和车间进行了审核，本次审核发现1个不符合项，责任单位进行了原因分析，及时组织进行了整改。到目前为止不符合项已全部完成整改。</w:t>
      </w: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2.2企业于2021年11月5日开展了单体系管理评审，会议由公司总经理南防修主持，由质量部、汇报了测量管理体系运行情况。其他相关职能部门汇报了本部门所做的测量体系相关工作。会议肯定了公司测量管理体系的充分性、有效性和适宜性。形成了管理评审报告。</w:t>
      </w: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3.为持续改进而策划的活动的进展，企业对识别的关键测量过程进行了持续的控制，企业直流电阻测量过程为关键测量过程，测量过程识别、测量设备配备、检定/校准、验证，测量过程有效性确认，测量不确定度评定、测量过程控制和监视满足要求。企业没有新增关键测量过程。</w:t>
      </w: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a)计量要求的导出和验证：查：直流电阻测量过程，计量要求导出方法正确，验证满足测量过程要求。祥见附件《计量要求导出及验证记录表》</w:t>
      </w: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b)测量不确定评定：查：直流电阻测量过程，测量不确定度评定方法正确。祥见附件《测量不确定度评定》</w:t>
      </w: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c)有效性确认：查：直流电阻测量过程有效性确认，满足要求。祥见附件《测量过程有效性确认》</w:t>
      </w: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d)测量过程的控制：查:直流电阻测量过程，编制了控制规范，对测量人员、测量设备、测量环境进行控制，满足要求。</w:t>
      </w: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e)测量过程的监视：查:直流电阻测量过程，采用统计技术进行控制和监视测量过程。祥见《测量过程监视记录》</w:t>
      </w: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f)测量设备的溯源：公司未建最高计量标准，企业测量设备由技术质量部负责组织委外检定/校准。公司测量设备委托</w:t>
      </w:r>
      <w:r>
        <w:rPr>
          <w:rFonts w:hint="eastAsia" w:ascii="宋体" w:hAnsi="宋体" w:eastAsia="宋体" w:cs="宋体"/>
          <w:color w:val="000000" w:themeColor="text1"/>
          <w:kern w:val="0"/>
          <w:sz w:val="24"/>
          <w:szCs w:val="24"/>
        </w:rPr>
        <w:t>苏州市吴江区检验检测中心、</w:t>
      </w:r>
      <w:r>
        <w:rPr>
          <w:rFonts w:hint="eastAsia"/>
          <w:sz w:val="24"/>
          <w:szCs w:val="24"/>
        </w:rPr>
        <w:t>上海泰峰检测认证有限公司</w:t>
      </w:r>
      <w:r>
        <w:rPr>
          <w:rFonts w:hint="eastAsia" w:asciiTheme="majorEastAsia" w:hAnsiTheme="majorEastAsia" w:eastAsiaTheme="majorEastAsia" w:cstheme="majorEastAsia"/>
          <w:bCs/>
          <w:color w:val="auto"/>
          <w:kern w:val="0"/>
          <w:sz w:val="24"/>
          <w:szCs w:val="24"/>
          <w:highlight w:val="none"/>
          <w:lang w:val="en-US" w:eastAsia="zh-CN"/>
        </w:rPr>
        <w:t>等机构检定/校准，抽查9台测量设备检定/校准证书，溯源满足要求。祥见《测量设备溯源检查表》</w:t>
      </w:r>
    </w:p>
    <w:p>
      <w:pPr>
        <w:spacing w:line="360" w:lineRule="auto"/>
        <w:rPr>
          <w:rFonts w:hint="eastAsia" w:ascii="宋体" w:hAnsi="宋体" w:eastAsia="宋体" w:cs="宋体"/>
          <w:bCs/>
          <w:color w:val="auto"/>
          <w:kern w:val="0"/>
          <w:sz w:val="24"/>
          <w:szCs w:val="24"/>
          <w:lang w:val="en-US" w:eastAsia="zh-CN"/>
        </w:rPr>
      </w:pPr>
    </w:p>
    <w:p>
      <w:pPr>
        <w:spacing w:line="360" w:lineRule="auto"/>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4.能源管理情况：企业不是重点耗能单位，企业消耗能源主要有：水、电。 2021年1月至10月累计消耗电</w:t>
      </w:r>
      <w:r>
        <w:rPr>
          <w:rFonts w:hint="eastAsia"/>
          <w:bCs/>
          <w:sz w:val="24"/>
          <w:szCs w:val="24"/>
          <w:highlight w:val="none"/>
        </w:rPr>
        <w:t>1336560kWh</w:t>
      </w:r>
      <w:r>
        <w:rPr>
          <w:rFonts w:hint="eastAsia" w:ascii="宋体" w:hAnsi="宋体" w:eastAsia="宋体" w:cs="宋体"/>
          <w:bCs/>
          <w:color w:val="auto"/>
          <w:kern w:val="0"/>
          <w:sz w:val="24"/>
          <w:szCs w:val="24"/>
          <w:highlight w:val="none"/>
          <w:lang w:val="en-US" w:eastAsia="zh-CN"/>
        </w:rPr>
        <w:t>，水6973t。折合标准煤164.86 吨标煤。</w:t>
      </w:r>
    </w:p>
    <w:p>
      <w:pPr>
        <w:snapToGrid w:val="0"/>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5.对认证审核时提出的的不符合项的纠正措施情况： </w:t>
      </w:r>
    </w:p>
    <w:p>
      <w:pPr>
        <w:widowControl/>
        <w:spacing w:line="360" w:lineRule="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val="en-US" w:eastAsia="zh-CN"/>
        </w:rPr>
        <w:t xml:space="preserve">5.1 </w:t>
      </w:r>
      <w:r>
        <w:rPr>
          <w:rFonts w:hint="eastAsia" w:ascii="宋体" w:hAnsi="宋体" w:eastAsia="宋体" w:cs="宋体"/>
          <w:bCs/>
          <w:color w:val="auto"/>
          <w:kern w:val="0"/>
          <w:sz w:val="24"/>
          <w:szCs w:val="24"/>
        </w:rPr>
        <w:t>20</w:t>
      </w:r>
      <w:r>
        <w:rPr>
          <w:rFonts w:hint="eastAsia" w:ascii="宋体" w:hAnsi="宋体" w:eastAsia="宋体" w:cs="宋体"/>
          <w:bCs/>
          <w:color w:val="auto"/>
          <w:kern w:val="0"/>
          <w:sz w:val="24"/>
          <w:szCs w:val="24"/>
          <w:lang w:val="en-US" w:eastAsia="zh-CN"/>
        </w:rPr>
        <w:t>20</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监督审核未发现</w:t>
      </w:r>
      <w:r>
        <w:rPr>
          <w:rFonts w:hint="eastAsia" w:ascii="宋体" w:hAnsi="宋体" w:eastAsia="宋体" w:cs="宋体"/>
          <w:bCs/>
          <w:color w:val="auto"/>
          <w:kern w:val="0"/>
          <w:sz w:val="24"/>
          <w:szCs w:val="24"/>
        </w:rPr>
        <w:t>不符合项</w:t>
      </w:r>
      <w:r>
        <w:rPr>
          <w:rFonts w:hint="eastAsia" w:ascii="宋体" w:hAnsi="宋体" w:eastAsia="宋体" w:cs="宋体"/>
          <w:bCs/>
          <w:color w:val="auto"/>
          <w:kern w:val="0"/>
          <w:sz w:val="24"/>
          <w:szCs w:val="24"/>
          <w:lang w:eastAsia="zh-CN"/>
        </w:rPr>
        <w:t>。</w:t>
      </w:r>
    </w:p>
    <w:p>
      <w:pPr>
        <w:widowControl/>
        <w:spacing w:line="360" w:lineRule="auto"/>
        <w:ind w:firstLine="480" w:firstLineChars="200"/>
        <w:rPr>
          <w:rFonts w:hint="eastAsia" w:ascii="宋体" w:hAnsi="宋体" w:eastAsia="宋体" w:cs="宋体"/>
          <w:bCs/>
          <w:color w:val="auto"/>
          <w:kern w:val="0"/>
          <w:sz w:val="24"/>
          <w:szCs w:val="24"/>
          <w:lang w:val="en-US" w:eastAsia="zh-CN"/>
        </w:rPr>
      </w:pP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6.</w:t>
      </w:r>
      <w:r>
        <w:rPr>
          <w:rFonts w:hint="eastAsia" w:ascii="宋体" w:hAnsi="宋体" w:eastAsia="宋体" w:cs="宋体"/>
          <w:bCs/>
          <w:color w:val="auto"/>
          <w:kern w:val="0"/>
          <w:sz w:val="24"/>
          <w:szCs w:val="24"/>
        </w:rPr>
        <w:t>对投诉的处理情况：</w:t>
      </w:r>
    </w:p>
    <w:p>
      <w:pPr>
        <w:widowControl/>
        <w:spacing w:line="360" w:lineRule="auto"/>
        <w:ind w:firstLine="480" w:firstLineChars="200"/>
        <w:rPr>
          <w:rFonts w:hint="eastAsia" w:ascii="宋体" w:hAnsi="宋体"/>
          <w:color w:val="auto"/>
          <w:sz w:val="24"/>
          <w:szCs w:val="24"/>
        </w:rPr>
      </w:pPr>
      <w:r>
        <w:rPr>
          <w:rFonts w:hint="eastAsia" w:ascii="宋体" w:hAnsi="宋体"/>
          <w:color w:val="auto"/>
          <w:sz w:val="24"/>
          <w:szCs w:val="24"/>
        </w:rPr>
        <w:t>公司目前尚未接到客户在产品质量、物料交接、能源、安全、现场管理等方面的投诉和纠纷。</w:t>
      </w:r>
    </w:p>
    <w:p>
      <w:pPr>
        <w:widowControl/>
        <w:spacing w:line="360" w:lineRule="auto"/>
        <w:ind w:firstLine="480" w:firstLineChars="200"/>
        <w:rPr>
          <w:rFonts w:hint="eastAsia" w:ascii="宋体" w:hAnsi="宋体"/>
          <w:color w:val="auto"/>
          <w:sz w:val="24"/>
          <w:szCs w:val="24"/>
          <w:lang w:val="en-US" w:eastAsia="zh-CN"/>
        </w:rPr>
      </w:pPr>
    </w:p>
    <w:p>
      <w:pPr>
        <w:widowControl/>
        <w:spacing w:line="360" w:lineRule="auto"/>
        <w:rPr>
          <w:rFonts w:hint="eastAsia" w:ascii="宋体" w:hAnsi="宋体" w:eastAsia="宋体" w:cs="宋体"/>
          <w:bCs/>
          <w:color w:val="auto"/>
          <w:kern w:val="0"/>
          <w:sz w:val="24"/>
          <w:szCs w:val="24"/>
          <w:lang w:val="en-US" w:eastAsia="zh-CN"/>
        </w:rPr>
      </w:pPr>
      <w:r>
        <w:rPr>
          <w:rFonts w:hint="eastAsia" w:ascii="宋体" w:hAnsi="宋体"/>
          <w:color w:val="auto"/>
          <w:sz w:val="24"/>
          <w:szCs w:val="24"/>
          <w:lang w:val="en-US" w:eastAsia="zh-CN"/>
        </w:rPr>
        <w:t>7</w:t>
      </w:r>
      <w:r>
        <w:rPr>
          <w:rFonts w:hint="eastAsia" w:ascii="宋体" w:hAnsi="宋体" w:eastAsia="宋体" w:cs="宋体"/>
          <w:bCs/>
          <w:color w:val="auto"/>
          <w:kern w:val="0"/>
          <w:sz w:val="24"/>
          <w:szCs w:val="24"/>
          <w:lang w:val="en-US" w:eastAsia="zh-CN"/>
        </w:rPr>
        <w:t>.测量管理体系在实现获证客户目标方面的有效性及持续的运作控制情况：</w:t>
      </w:r>
    </w:p>
    <w:p>
      <w:pPr>
        <w:widowControl/>
        <w:spacing w:line="360" w:lineRule="auto"/>
        <w:ind w:firstLine="480" w:firstLineChars="200"/>
        <w:rPr>
          <w:rFonts w:hint="eastAsia" w:ascii="宋体" w:hAnsi="宋体"/>
          <w:color w:val="auto"/>
          <w:sz w:val="24"/>
          <w:szCs w:val="24"/>
          <w:lang w:val="en-US" w:eastAsia="zh-CN"/>
        </w:rPr>
      </w:pPr>
      <w:r>
        <w:rPr>
          <w:rFonts w:hint="eastAsia" w:ascii="宋体" w:hAnsi="宋体" w:eastAsia="宋体" w:cs="宋体"/>
          <w:bCs/>
          <w:color w:val="auto"/>
          <w:kern w:val="0"/>
          <w:sz w:val="24"/>
          <w:szCs w:val="24"/>
          <w:lang w:val="en-US" w:eastAsia="zh-CN"/>
        </w:rPr>
        <w:t>公司制定了5项质量目标，质量目标有具体考核，指标可测量，企业下发了《计量目标分解方案》，质量目标分解到各部门。经统计2021年1月至9月份质量目标全部完成。。企业测量体系进一步满足顾客、质量、服务等方面的要求，符合GB/T 19022-2003标准要求。使其更具有动态性和适宜性、有效性及对持续运作的控制</w:t>
      </w:r>
      <w:r>
        <w:rPr>
          <w:rFonts w:hint="eastAsia" w:ascii="宋体" w:hAnsi="宋体"/>
          <w:color w:val="auto"/>
          <w:sz w:val="24"/>
          <w:szCs w:val="24"/>
          <w:lang w:val="en-US" w:eastAsia="zh-CN"/>
        </w:rPr>
        <w:t>。</w:t>
      </w:r>
    </w:p>
    <w:p>
      <w:pPr>
        <w:widowControl/>
        <w:spacing w:line="360" w:lineRule="auto"/>
        <w:rPr>
          <w:rFonts w:hint="eastAsia" w:ascii="宋体" w:hAnsi="宋体" w:eastAsia="宋体" w:cs="宋体"/>
          <w:bCs/>
          <w:color w:val="auto"/>
          <w:kern w:val="0"/>
          <w:sz w:val="24"/>
          <w:szCs w:val="24"/>
          <w:lang w:val="en-US" w:eastAsia="zh-CN"/>
        </w:rPr>
      </w:pPr>
    </w:p>
    <w:p>
      <w:pPr>
        <w:widowControl/>
        <w:spacing w:line="360" w:lineRule="auto"/>
        <w:ind w:firstLine="480" w:firstLineChars="200"/>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8.对企业组织任何变更的审核</w:t>
      </w:r>
    </w:p>
    <w:p>
      <w:pPr>
        <w:widowControl/>
        <w:spacing w:line="360" w:lineRule="auto"/>
        <w:ind w:firstLine="480" w:firstLineChars="200"/>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企业营业执照没有变更，企业组织机构没有变更。</w:t>
      </w:r>
    </w:p>
    <w:p>
      <w:pPr>
        <w:widowControl/>
        <w:spacing w:line="360" w:lineRule="auto"/>
        <w:ind w:firstLine="480" w:firstLineChars="200"/>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9.标志的使用和（或）任何其他对认证资格引用的情况：</w:t>
      </w:r>
    </w:p>
    <w:p>
      <w:pPr>
        <w:widowControl/>
        <w:spacing w:line="360" w:lineRule="auto"/>
        <w:ind w:firstLine="480" w:firstLineChars="200"/>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公司对标志的使用，符合相关标准和规定。公司测量管理体系认证证书用于：招投标和企业形象宣传。</w:t>
      </w:r>
    </w:p>
    <w:p>
      <w:pPr>
        <w:widowControl/>
        <w:spacing w:line="360" w:lineRule="auto"/>
        <w:ind w:firstLine="480" w:firstLineChars="200"/>
        <w:rPr>
          <w:rFonts w:hint="eastAsia" w:ascii="宋体" w:hAnsi="宋体" w:eastAsia="宋体" w:cs="宋体"/>
          <w:bCs/>
          <w:color w:val="auto"/>
          <w:kern w:val="0"/>
          <w:sz w:val="24"/>
          <w:szCs w:val="24"/>
          <w:lang w:val="en-US" w:eastAsia="zh-CN"/>
        </w:rPr>
      </w:pPr>
    </w:p>
    <w:p>
      <w:pPr>
        <w:widowControl/>
        <w:spacing w:line="360" w:lineRule="auto"/>
        <w:ind w:firstLine="480" w:firstLineChars="200"/>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本次审核未发现一般不符合项 ，未发现严重或系统性的不符合情况。</w:t>
      </w:r>
    </w:p>
    <w:p>
      <w:pPr>
        <w:widowControl/>
        <w:spacing w:line="360" w:lineRule="auto"/>
        <w:ind w:firstLine="480" w:firstLineChars="200"/>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三、监督审核结论意见(含需要说明的事项):</w:t>
      </w:r>
    </w:p>
    <w:p>
      <w:pPr>
        <w:widowControl/>
        <w:spacing w:line="360" w:lineRule="auto"/>
        <w:ind w:firstLine="480" w:firstLineChars="200"/>
        <w:rPr>
          <w:rFonts w:hint="eastAsia" w:cs="宋体" w:asciiTheme="minorEastAsia" w:hAnsiTheme="minorEastAsia"/>
          <w:bCs/>
          <w:color w:val="auto"/>
          <w:kern w:val="0"/>
          <w:sz w:val="24"/>
          <w:szCs w:val="24"/>
        </w:rPr>
      </w:pPr>
      <w:r>
        <w:rPr>
          <w:rFonts w:hint="eastAsia" w:ascii="宋体" w:hAnsi="宋体" w:eastAsia="宋体" w:cs="宋体"/>
          <w:bCs/>
          <w:color w:val="auto"/>
          <w:kern w:val="0"/>
          <w:sz w:val="24"/>
          <w:szCs w:val="24"/>
        </w:rPr>
        <w:t>通过20</w:t>
      </w:r>
      <w:r>
        <w:rPr>
          <w:rFonts w:hint="eastAsia" w:ascii="宋体" w:hAnsi="宋体" w:eastAsia="宋体" w:cs="宋体"/>
          <w:bCs/>
          <w:color w:val="auto"/>
          <w:kern w:val="0"/>
          <w:sz w:val="24"/>
          <w:szCs w:val="24"/>
          <w:lang w:val="en-US" w:eastAsia="zh-CN"/>
        </w:rPr>
        <w:t>21</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11</w:t>
      </w:r>
      <w:r>
        <w:rPr>
          <w:rFonts w:hint="eastAsia" w:ascii="宋体" w:hAnsi="宋体" w:eastAsia="宋体" w:cs="宋体"/>
          <w:bCs/>
          <w:color w:val="auto"/>
          <w:kern w:val="0"/>
          <w:sz w:val="24"/>
          <w:szCs w:val="24"/>
        </w:rPr>
        <w:t>月</w:t>
      </w:r>
      <w:r>
        <w:rPr>
          <w:rFonts w:hint="eastAsia" w:ascii="宋体" w:hAnsi="宋体" w:eastAsia="宋体" w:cs="宋体"/>
          <w:bCs/>
          <w:color w:val="auto"/>
          <w:kern w:val="0"/>
          <w:sz w:val="24"/>
          <w:szCs w:val="24"/>
          <w:lang w:val="en-US" w:eastAsia="zh-CN"/>
        </w:rPr>
        <w:t>25</w:t>
      </w:r>
      <w:r>
        <w:rPr>
          <w:rFonts w:hint="eastAsia" w:cs="宋体" w:asciiTheme="minorEastAsia" w:hAnsiTheme="minorEastAsia"/>
          <w:bCs/>
          <w:color w:val="auto"/>
          <w:kern w:val="0"/>
          <w:sz w:val="24"/>
          <w:szCs w:val="24"/>
        </w:rPr>
        <w:t>日，对</w:t>
      </w:r>
      <w:r>
        <w:rPr>
          <w:rFonts w:hint="eastAsia" w:cs="宋体" w:asciiTheme="minorEastAsia" w:hAnsiTheme="minorEastAsia"/>
          <w:bCs/>
          <w:color w:val="auto"/>
          <w:kern w:val="0"/>
          <w:sz w:val="24"/>
          <w:szCs w:val="24"/>
          <w:lang w:eastAsia="zh-CN"/>
        </w:rPr>
        <w:t>江苏通鼎光电科技有限公司</w:t>
      </w:r>
      <w:r>
        <w:rPr>
          <w:rFonts w:hint="eastAsia" w:cs="宋体" w:asciiTheme="minorEastAsia" w:hAnsiTheme="minorEastAsia"/>
          <w:bCs/>
          <w:color w:val="auto"/>
          <w:kern w:val="0"/>
          <w:sz w:val="24"/>
          <w:szCs w:val="24"/>
        </w:rPr>
        <w:t>监督审核.验证了公司在去年一年内，测量管理体系运作情况，公司领导重视体系运行和管理，体系文件得到有效实施，关键测量过程受控、监视方法正确有效，重要测量人员能力受控，测量设备、测量环境、测量软件、测量记录及外部供方管理等各项工作管理规范，使公司测量体系持续满足顾客的测量要求。综上所述，审核组认为</w:t>
      </w:r>
      <w:r>
        <w:rPr>
          <w:rFonts w:hint="eastAsia" w:cs="宋体" w:asciiTheme="minorEastAsia" w:hAnsiTheme="minorEastAsia"/>
          <w:bCs/>
          <w:color w:val="auto"/>
          <w:kern w:val="0"/>
          <w:sz w:val="24"/>
          <w:szCs w:val="24"/>
          <w:lang w:eastAsia="zh-CN"/>
        </w:rPr>
        <w:t>江苏通鼎光电科技有限公司</w:t>
      </w:r>
      <w:r>
        <w:rPr>
          <w:rFonts w:hint="eastAsia" w:cs="宋体" w:asciiTheme="minorEastAsia" w:hAnsiTheme="minorEastAsia"/>
          <w:bCs/>
          <w:color w:val="auto"/>
          <w:kern w:val="0"/>
          <w:sz w:val="24"/>
          <w:szCs w:val="24"/>
        </w:rPr>
        <w:t>测量管理体系，符合GB/T 19022-2003标准要求，对体系运行具有持续的有效性、符合性予以肯定。建议报请国标联合认证有限公司批准</w:t>
      </w:r>
      <w:bookmarkStart w:id="11" w:name="_GoBack"/>
      <w:bookmarkEnd w:id="11"/>
      <w:r>
        <w:rPr>
          <w:rFonts w:hint="eastAsia" w:cs="宋体" w:asciiTheme="minorEastAsia" w:hAnsiTheme="minorEastAsia"/>
          <w:bCs/>
          <w:color w:val="auto"/>
          <w:kern w:val="0"/>
          <w:sz w:val="24"/>
          <w:szCs w:val="24"/>
        </w:rPr>
        <w:t>通过监督审核。</w:t>
      </w:r>
    </w:p>
    <w:p>
      <w:pPr>
        <w:widowControl/>
        <w:spacing w:line="360" w:lineRule="auto"/>
        <w:rPr>
          <w:rFonts w:hint="eastAsia" w:cs="宋体" w:asciiTheme="minorEastAsia" w:hAnsiTheme="minorEastAsia"/>
          <w:bCs/>
          <w:color w:val="auto"/>
          <w:kern w:val="0"/>
          <w:sz w:val="24"/>
          <w:szCs w:val="24"/>
        </w:rPr>
      </w:pPr>
      <w:r>
        <w:rPr>
          <w:rFonts w:hint="eastAsia"/>
          <w:color w:val="auto"/>
          <w:sz w:val="24"/>
          <w:szCs w:val="24"/>
        </w:rPr>
        <w:drawing>
          <wp:anchor distT="0" distB="0" distL="114300" distR="114300" simplePos="0" relativeHeight="251673600" behindDoc="0" locked="0" layoutInCell="1" allowOverlap="1">
            <wp:simplePos x="0" y="0"/>
            <wp:positionH relativeFrom="column">
              <wp:posOffset>1389380</wp:posOffset>
            </wp:positionH>
            <wp:positionV relativeFrom="paragraph">
              <wp:posOffset>208280</wp:posOffset>
            </wp:positionV>
            <wp:extent cx="614680" cy="385445"/>
            <wp:effectExtent l="0" t="0" r="0" b="5080"/>
            <wp:wrapNone/>
            <wp:docPr id="4" name="图片 2" descr="我电子签名92764bb375c44007ba1788b07a13b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我电子签名92764bb375c44007ba1788b07a13b84"/>
                    <pic:cNvPicPr>
                      <a:picLocks noChangeAspect="1"/>
                    </pic:cNvPicPr>
                  </pic:nvPicPr>
                  <pic:blipFill>
                    <a:blip r:embed="rId6"/>
                    <a:stretch>
                      <a:fillRect/>
                    </a:stretch>
                  </pic:blipFill>
                  <pic:spPr>
                    <a:xfrm>
                      <a:off x="0" y="0"/>
                      <a:ext cx="614680" cy="385445"/>
                    </a:xfrm>
                    <a:prstGeom prst="rect">
                      <a:avLst/>
                    </a:prstGeom>
                    <a:noFill/>
                    <a:ln>
                      <a:noFill/>
                    </a:ln>
                  </pic:spPr>
                </pic:pic>
              </a:graphicData>
            </a:graphic>
          </wp:anchor>
        </w:drawing>
      </w:r>
    </w:p>
    <w:p>
      <w:pPr>
        <w:widowControl/>
        <w:spacing w:line="360" w:lineRule="auto"/>
        <w:jc w:val="left"/>
        <w:rPr>
          <w:rFonts w:hint="default" w:ascii="宋体" w:hAnsi="宋体" w:eastAsia="宋体" w:cs="宋体"/>
          <w:color w:val="auto"/>
          <w:kern w:val="0"/>
          <w:szCs w:val="21"/>
          <w:lang w:val="en-US" w:eastAsia="zh-CN"/>
        </w:rPr>
      </w:pPr>
      <w:r>
        <w:rPr>
          <w:rFonts w:ascii="宋体" w:hAnsi="宋体" w:eastAsia="宋体" w:cs="宋体"/>
          <w:color w:val="auto"/>
          <w:kern w:val="0"/>
          <w:szCs w:val="21"/>
        </w:rPr>
        <w:t>审核组组长（签字）：</w:t>
      </w:r>
      <w:r>
        <w:rPr>
          <w:rFonts w:hint="eastAsia" w:ascii="宋体" w:hAnsi="宋体" w:eastAsia="宋体" w:cs="宋体"/>
          <w:color w:val="auto"/>
          <w:kern w:val="0"/>
          <w:szCs w:val="21"/>
        </w:rPr>
        <w:t xml:space="preserve">                                 </w:t>
      </w:r>
      <w:r>
        <w:rPr>
          <w:rFonts w:ascii="宋体" w:hAnsi="宋体" w:eastAsia="宋体" w:cs="宋体"/>
          <w:color w:val="auto"/>
          <w:kern w:val="0"/>
          <w:szCs w:val="21"/>
        </w:rPr>
        <w:t>日</w:t>
      </w:r>
      <w:r>
        <w:rPr>
          <w:rFonts w:hint="eastAsia" w:ascii="宋体" w:hAnsi="宋体" w:eastAsia="宋体" w:cs="宋体"/>
          <w:color w:val="auto"/>
          <w:kern w:val="0"/>
          <w:szCs w:val="21"/>
        </w:rPr>
        <w:t xml:space="preserve"> </w:t>
      </w:r>
      <w:r>
        <w:rPr>
          <w:rFonts w:ascii="宋体" w:hAnsi="宋体" w:eastAsia="宋体" w:cs="宋体"/>
          <w:color w:val="auto"/>
          <w:kern w:val="0"/>
          <w:szCs w:val="21"/>
        </w:rPr>
        <w:t>期：</w:t>
      </w:r>
      <w:r>
        <w:rPr>
          <w:rFonts w:hint="eastAsia" w:ascii="宋体" w:hAnsi="宋体" w:eastAsia="宋体" w:cs="宋体"/>
          <w:color w:val="auto"/>
          <w:kern w:val="0"/>
          <w:szCs w:val="21"/>
          <w:lang w:val="en-US" w:eastAsia="zh-CN"/>
        </w:rPr>
        <w:t>2021.11.25</w:t>
      </w:r>
    </w:p>
    <w:p>
      <w:pPr>
        <w:widowControl/>
        <w:spacing w:line="360" w:lineRule="auto"/>
        <w:jc w:val="left"/>
        <w:rPr>
          <w:rFonts w:ascii="宋体" w:hAnsi="宋体" w:eastAsia="宋体" w:cs="宋体"/>
          <w:kern w:val="0"/>
          <w:szCs w:val="21"/>
        </w:rPr>
      </w:pPr>
      <w:r>
        <w:rPr>
          <w:rFonts w:hint="eastAsia" w:ascii="宋体" w:hAnsi="宋体" w:eastAsia="宋体"/>
          <w:szCs w:val="21"/>
          <w:lang w:eastAsia="zh-CN"/>
        </w:rPr>
        <w:drawing>
          <wp:anchor distT="0" distB="0" distL="114300" distR="114300" simplePos="0" relativeHeight="251693056" behindDoc="0" locked="0" layoutInCell="1" allowOverlap="1">
            <wp:simplePos x="0" y="0"/>
            <wp:positionH relativeFrom="column">
              <wp:posOffset>1430655</wp:posOffset>
            </wp:positionH>
            <wp:positionV relativeFrom="paragraph">
              <wp:posOffset>260350</wp:posOffset>
            </wp:positionV>
            <wp:extent cx="633095" cy="291465"/>
            <wp:effectExtent l="0" t="0" r="5080" b="3810"/>
            <wp:wrapNone/>
            <wp:docPr id="2" name="图片 2" descr="2fe0e1633fe16412e9f7e0ab26dc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fe0e1633fe16412e9f7e0ab26dc397"/>
                    <pic:cNvPicPr>
                      <a:picLocks noChangeAspect="1"/>
                    </pic:cNvPicPr>
                  </pic:nvPicPr>
                  <pic:blipFill>
                    <a:blip r:embed="rId7"/>
                    <a:stretch>
                      <a:fillRect/>
                    </a:stretch>
                  </pic:blipFill>
                  <pic:spPr>
                    <a:xfrm>
                      <a:off x="0" y="0"/>
                      <a:ext cx="633095" cy="291465"/>
                    </a:xfrm>
                    <a:prstGeom prst="rect">
                      <a:avLst/>
                    </a:prstGeom>
                    <a:noFill/>
                    <a:ln>
                      <a:noFill/>
                    </a:ln>
                  </pic:spPr>
                </pic:pic>
              </a:graphicData>
            </a:graphic>
          </wp:anchor>
        </w:drawing>
      </w:r>
    </w:p>
    <w:p>
      <w:pPr>
        <w:widowControl/>
        <w:spacing w:line="360" w:lineRule="auto"/>
        <w:jc w:val="left"/>
        <w:rPr>
          <w:rFonts w:hint="default" w:ascii="宋体" w:hAnsi="宋体" w:eastAsia="宋体" w:cs="宋体"/>
          <w:color w:val="000000"/>
          <w:kern w:val="0"/>
          <w:szCs w:val="21"/>
          <w:lang w:val="en-US"/>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kern w:val="0"/>
          <w:szCs w:val="21"/>
          <w:lang w:val="en-US" w:eastAsia="zh-CN"/>
        </w:rPr>
        <w:t>2021.11.25</w:t>
      </w:r>
    </w:p>
    <w:p>
      <w:pPr>
        <w:widowControl/>
        <w:spacing w:line="276" w:lineRule="auto"/>
        <w:ind w:right="945"/>
        <w:jc w:val="left"/>
        <w:rPr>
          <w:rFonts w:ascii="宋体" w:hAnsi="宋体" w:eastAsia="宋体" w:cs="宋体"/>
          <w:kern w:val="0"/>
          <w:szCs w:val="28"/>
        </w:rPr>
      </w:pPr>
    </w:p>
    <w:p>
      <w:pPr>
        <w:widowControl/>
        <w:spacing w:line="276" w:lineRule="auto"/>
        <w:rPr>
          <w:rFonts w:cs="宋体" w:asciiTheme="minorEastAsia" w:hAnsiTheme="minorEastAsia"/>
          <w:bCs/>
          <w:kern w:val="0"/>
          <w:szCs w:val="21"/>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32297A"/>
    <w:rsid w:val="0DC74E32"/>
    <w:rsid w:val="164F2B20"/>
    <w:rsid w:val="19180EA2"/>
    <w:rsid w:val="2D937CAF"/>
    <w:rsid w:val="2FF81339"/>
    <w:rsid w:val="41FD38F1"/>
    <w:rsid w:val="4C8E30E1"/>
    <w:rsid w:val="5E8241A0"/>
    <w:rsid w:val="61C228BD"/>
    <w:rsid w:val="656E18CD"/>
    <w:rsid w:val="69945BA1"/>
    <w:rsid w:val="70AF11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2</TotalTime>
  <ScaleCrop>false</ScaleCrop>
  <LinksUpToDate>false</LinksUpToDate>
  <CharactersWithSpaces>2163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WPS_1601433895</cp:lastModifiedBy>
  <cp:lastPrinted>2017-09-01T06:24:00Z</cp:lastPrinted>
  <dcterms:modified xsi:type="dcterms:W3CDTF">2021-11-25T07:06:27Z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