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5629"/>
        <w:gridCol w:w="2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定兴县永巨水泥制品有限公司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根据取水许可证要求，公司年取水量不超过1860吨，但企业提供的新鲜水数据3-10月份用水量为17144吨，超过取水要求，企业应制定切实可行的措施降低取水量。以满足政府要求。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下册审核时重点关注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建议增加生产过程的电量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计量表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。</w:t>
            </w:r>
            <w:r>
              <w:rPr>
                <w:rFonts w:hint="eastAsia"/>
                <w:lang w:val="en-US" w:eastAsia="zh-CN"/>
              </w:rPr>
              <w:t>根据GB36888-2018标准要求，二级（进出主要次级用能单位）的电表和水表应配备，配备要求满足GB17167的标准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下册审核时重点关注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3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240" w:lineRule="auto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建议企业对功率较大的设备如双卧轴搅拌机、三相异步电动机的运行效率实施关注，确保设备高效运行。</w:t>
            </w:r>
          </w:p>
          <w:p>
            <w:pPr>
              <w:jc w:val="both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下册审核时重点关注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4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企业在未来制定能源绩效参数和能源目标时应考虑生产综合能耗。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下册审核时重点关注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查阅财务部能源目标指标，建议将ES目标指标修改为“确保能源、环境和职业健康安全管理资金100%及时、足额到位”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bookmarkStart w:id="12" w:name="_GoBack"/>
            <w:bookmarkEnd w:id="12"/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A77555"/>
    <w:rsid w:val="45285089"/>
    <w:rsid w:val="61007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11</TotalTime>
  <ScaleCrop>false</ScaleCrop>
  <LinksUpToDate>false</LinksUpToDate>
  <CharactersWithSpaces>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2021-11-20T07:55:06Z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