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ind w:firstLine="420" w:firstLineChars="200"/>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过程与活动、</w:t>
            </w:r>
          </w:p>
          <w:p>
            <w:pPr>
              <w:ind w:firstLine="420" w:firstLineChars="200"/>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抽样计划</w:t>
            </w:r>
          </w:p>
        </w:tc>
        <w:tc>
          <w:tcPr>
            <w:tcW w:w="960" w:type="dxa"/>
            <w:vMerge w:val="restart"/>
            <w:vAlign w:val="center"/>
          </w:tcPr>
          <w:p>
            <w:pPr>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涉及</w:t>
            </w:r>
          </w:p>
          <w:p>
            <w:pPr>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条款</w:t>
            </w:r>
          </w:p>
        </w:tc>
        <w:tc>
          <w:tcPr>
            <w:tcW w:w="10376" w:type="dxa"/>
            <w:vAlign w:val="center"/>
          </w:tcPr>
          <w:p>
            <w:pPr>
              <w:rPr>
                <w:rFonts w:hint="default"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 xml:space="preserve">受审核部门：管理层    主管领导：冯振合        陪同人员： </w:t>
            </w:r>
            <w:r>
              <w:rPr>
                <w:rFonts w:hint="eastAsia" w:cs="Times New Roman"/>
                <w:color w:val="000000" w:themeColor="text1"/>
                <w:szCs w:val="22"/>
                <w:lang w:val="en-US" w:eastAsia="zh-CN"/>
              </w:rPr>
              <w:t>李旭哲</w:t>
            </w:r>
          </w:p>
        </w:tc>
        <w:tc>
          <w:tcPr>
            <w:tcW w:w="1213" w:type="dxa"/>
            <w:vMerge w:val="restart"/>
            <w:vAlign w:val="center"/>
          </w:tcPr>
          <w:p>
            <w:pPr>
              <w:tabs>
                <w:tab w:val="center" w:pos="498"/>
              </w:tabs>
              <w:jc w:val="cente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76" w:type="dxa"/>
            <w:vAlign w:val="center"/>
          </w:tcPr>
          <w:p>
            <w:pPr>
              <w:rPr>
                <w:rFonts w:hint="default"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审核员：王宁敏       审核时间：2021-</w:t>
            </w:r>
            <w:r>
              <w:rPr>
                <w:rFonts w:hint="eastAsia" w:cs="Times New Roman"/>
                <w:color w:val="000000" w:themeColor="text1"/>
                <w:szCs w:val="22"/>
                <w:lang w:val="en-US" w:eastAsia="zh-CN"/>
              </w:rPr>
              <w:t>11</w:t>
            </w:r>
            <w:r>
              <w:rPr>
                <w:rFonts w:hint="eastAsia" w:ascii="Times New Roman" w:hAnsi="Times New Roman" w:cs="Times New Roman"/>
                <w:color w:val="000000" w:themeColor="text1"/>
                <w:szCs w:val="22"/>
                <w:lang w:val="en-US" w:eastAsia="zh-CN"/>
              </w:rPr>
              <w:t>-</w:t>
            </w:r>
            <w:r>
              <w:rPr>
                <w:rFonts w:hint="eastAsia" w:cs="Times New Roman"/>
                <w:color w:val="000000" w:themeColor="text1"/>
                <w:szCs w:val="22"/>
                <w:lang w:val="en-US" w:eastAsia="zh-CN"/>
              </w:rPr>
              <w:t>19</w:t>
            </w:r>
            <w:r>
              <w:rPr>
                <w:rFonts w:hint="eastAsia" w:ascii="Times New Roman" w:hAnsi="Times New Roman" w:cs="Times New Roman"/>
                <w:color w:val="000000" w:themeColor="text1"/>
                <w:szCs w:val="22"/>
                <w:lang w:val="en-US" w:eastAsia="zh-CN"/>
              </w:rPr>
              <w:t xml:space="preserve">  14:00-17:30</w:t>
            </w:r>
          </w:p>
        </w:tc>
        <w:tc>
          <w:tcPr>
            <w:tcW w:w="121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76" w:type="dxa"/>
            <w:vAlign w:val="center"/>
          </w:tcPr>
          <w:p>
            <w:pPr>
              <w:rPr>
                <w:rFonts w:hint="eastAsia" w:ascii="Times New Roman" w:hAnsi="Times New Roman" w:cs="Times New Roman"/>
                <w:color w:val="000000" w:themeColor="text1"/>
                <w:szCs w:val="22"/>
                <w:lang w:val="en-US" w:eastAsia="zh-CN"/>
              </w:rPr>
            </w:pPr>
            <w:r>
              <w:rPr>
                <w:rFonts w:hint="eastAsia" w:ascii="Times New Roman" w:hAnsi="Times New Roman" w:cs="Times New Roman"/>
                <w:color w:val="000000" w:themeColor="text1"/>
                <w:szCs w:val="22"/>
                <w:lang w:val="en-US" w:eastAsia="zh-CN"/>
              </w:rPr>
              <w:t>审核条款： 4.1/组织所处的环境；4.2/相关方的需求和期望；4.3/4.4/能源管理体系的范围及能源管理体系；5.1/领导作用；5.2/能源方针；5.3/岗位、职责和权限；6.1/风险和机遇的措施；7.1/资源；9.3/管理评审；10.2</w:t>
            </w:r>
            <w:r>
              <w:rPr>
                <w:rFonts w:hint="eastAsia" w:cs="Times New Roman"/>
                <w:color w:val="000000" w:themeColor="text1"/>
                <w:szCs w:val="22"/>
                <w:lang w:val="en-US" w:eastAsia="zh-CN"/>
              </w:rPr>
              <w:t>/</w:t>
            </w:r>
            <w:r>
              <w:rPr>
                <w:rFonts w:hint="eastAsia" w:ascii="Times New Roman" w:hAnsi="Times New Roman" w:cs="Times New Roman"/>
                <w:color w:val="000000" w:themeColor="text1"/>
                <w:szCs w:val="22"/>
                <w:lang w:val="en-US" w:eastAsia="zh-CN"/>
              </w:rPr>
              <w:t>持续改进</w:t>
            </w:r>
            <w:r>
              <w:rPr>
                <w:rFonts w:hint="eastAsia" w:cs="Times New Roman"/>
                <w:color w:val="000000" w:themeColor="text1"/>
                <w:szCs w:val="22"/>
                <w:lang w:val="en-US" w:eastAsia="zh-CN"/>
              </w:rPr>
              <w:t>；</w:t>
            </w:r>
            <w:r>
              <w:rPr>
                <w:rFonts w:hint="eastAsia" w:ascii="Times New Roman" w:hAnsi="Times New Roman" w:cs="Times New Roman"/>
                <w:color w:val="000000" w:themeColor="text1"/>
                <w:szCs w:val="22"/>
                <w:lang w:val="en-US" w:eastAsia="zh-CN"/>
              </w:rPr>
              <w:t>对一阶段问题整改情况的确认。</w:t>
            </w:r>
          </w:p>
        </w:tc>
        <w:tc>
          <w:tcPr>
            <w:tcW w:w="121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color w:val="000000" w:themeColor="text1"/>
              </w:rPr>
            </w:pPr>
            <w:r>
              <w:rPr>
                <w:rFonts w:hint="eastAsia" w:ascii="Times New Roman" w:hAnsi="Times New Roman" w:cs="Times New Roman"/>
                <w:color w:val="000000" w:themeColor="text1"/>
                <w:szCs w:val="22"/>
                <w:lang w:val="en-US" w:eastAsia="zh-CN"/>
              </w:rPr>
              <w:t>了解公司基本情况</w:t>
            </w:r>
          </w:p>
        </w:tc>
        <w:tc>
          <w:tcPr>
            <w:tcW w:w="960" w:type="dxa"/>
          </w:tcPr>
          <w:p>
            <w:pPr>
              <w:rPr>
                <w:color w:val="000000" w:themeColor="text1"/>
              </w:rPr>
            </w:pPr>
          </w:p>
        </w:tc>
        <w:tc>
          <w:tcPr>
            <w:tcW w:w="10376" w:type="dxa"/>
          </w:tcPr>
          <w:p>
            <w:pPr>
              <w:ind w:firstLine="420" w:firstLineChars="200"/>
              <w:rPr>
                <w:rFonts w:hint="eastAsia"/>
                <w:color w:val="000000" w:themeColor="text1"/>
                <w:lang w:val="en-US" w:eastAsia="zh-CN"/>
              </w:rPr>
            </w:pPr>
            <w:r>
              <w:rPr>
                <w:rFonts w:hint="eastAsia"/>
                <w:color w:val="000000" w:themeColor="text1"/>
                <w:lang w:val="en-US" w:eastAsia="zh-CN"/>
              </w:rPr>
              <w:t>定兴县永巨水泥制品有限公司成立于2020年4月17日，注册资金2500万元，位于河北省保定市定兴县肖村乡六里屯村东，107国道旁，占地面积25000平方米，紧邻建材大县易县、涞水，距离雄安新区约15公里，地理位置优越，交通便利，竭诚为国家千年大计雄安新区提供优质服务。</w:t>
            </w:r>
          </w:p>
          <w:p>
            <w:pPr>
              <w:ind w:firstLine="420" w:firstLineChars="200"/>
              <w:rPr>
                <w:rFonts w:hint="eastAsia"/>
                <w:color w:val="000000" w:themeColor="text1"/>
                <w:lang w:val="en-US" w:eastAsia="zh-CN"/>
              </w:rPr>
            </w:pPr>
            <w:r>
              <w:rPr>
                <w:rFonts w:hint="eastAsia"/>
                <w:color w:val="000000" w:themeColor="text1"/>
                <w:lang w:val="en-US" w:eastAsia="zh-CN"/>
              </w:rPr>
              <w:t>公司现有两条三一重工HZS240型预拌商品混凝土搅拌机组，产能为480m³/h，年产能达160-180万m³。可生产C10-C60等各种技术规格要求的商品混凝土，用于楼宇、民建、道路、桥梁等建设。</w:t>
            </w:r>
          </w:p>
          <w:p>
            <w:pPr>
              <w:ind w:firstLine="420" w:firstLineChars="200"/>
              <w:rPr>
                <w:rFonts w:hint="eastAsia"/>
                <w:color w:val="000000" w:themeColor="text1"/>
                <w:lang w:val="en-US" w:eastAsia="zh-CN"/>
              </w:rPr>
            </w:pPr>
            <w:r>
              <w:rPr>
                <w:rFonts w:hint="eastAsia"/>
                <w:color w:val="000000" w:themeColor="text1"/>
                <w:lang w:val="en-US" w:eastAsia="zh-CN"/>
              </w:rPr>
              <w:t>公司办公环境良好，办公楼1266㎡，实验室360㎡。公司“以质量保信誉，以质量求发展”，视混凝土质量为企业生命，为此配备了齐全的试验设备和先进的检测手段及优秀的专业技术人才，对原材进厂到成品出库的整个生产过程进行全面监测，来确保产品质量。并建有完善的质量管理体系和行之有效的管理制度，能独立承担各种通用及特制商品混凝土的生产、运输、泵送一条龙服务。</w:t>
            </w:r>
          </w:p>
          <w:p>
            <w:pPr>
              <w:ind w:firstLine="420" w:firstLineChars="200"/>
              <w:rPr>
                <w:rFonts w:hint="eastAsia"/>
                <w:color w:val="000000" w:themeColor="text1"/>
                <w:lang w:val="en-US" w:eastAsia="zh-CN"/>
              </w:rPr>
            </w:pPr>
            <w:r>
              <w:rPr>
                <w:rFonts w:hint="eastAsia"/>
                <w:color w:val="000000" w:themeColor="text1"/>
                <w:lang w:val="en-US" w:eastAsia="zh-CN"/>
              </w:rPr>
              <w:t>公司配备业务用车10余辆，满足办公及售后的相关需求，新购置6-20立方混凝土搅拌运输车50余台，可保证混凝土的连续罐运需求，并配置大型输送泵车2台以满足不同高度及需求的混凝土浇筑作业。</w:t>
            </w:r>
          </w:p>
          <w:p>
            <w:pPr>
              <w:ind w:firstLine="420" w:firstLineChars="200"/>
              <w:rPr>
                <w:rFonts w:hint="eastAsia"/>
                <w:color w:val="000000" w:themeColor="text1"/>
                <w:lang w:val="en-US" w:eastAsia="zh-CN"/>
              </w:rPr>
            </w:pPr>
            <w:r>
              <w:rPr>
                <w:rFonts w:hint="eastAsia"/>
                <w:color w:val="000000" w:themeColor="text1"/>
                <w:lang w:val="en-US" w:eastAsia="zh-CN"/>
              </w:rPr>
              <w:t>营业执照注册地址：河北省保定市定兴县肖村乡六里屯村东。</w:t>
            </w:r>
          </w:p>
          <w:p>
            <w:pPr>
              <w:ind w:firstLine="420" w:firstLineChars="200"/>
              <w:rPr>
                <w:rFonts w:hint="eastAsia"/>
                <w:color w:val="000000" w:themeColor="text1"/>
                <w:lang w:val="en-US" w:eastAsia="zh-CN"/>
              </w:rPr>
            </w:pPr>
            <w:r>
              <w:rPr>
                <w:rFonts w:hint="eastAsia"/>
                <w:color w:val="000000" w:themeColor="text1"/>
                <w:lang w:val="en-US" w:eastAsia="zh-CN"/>
              </w:rPr>
              <w:t>经营地址：河北省保定市定兴县肖村乡六里屯村东，与生产或服务现场一致。</w:t>
            </w:r>
          </w:p>
          <w:p>
            <w:pPr>
              <w:ind w:firstLine="420" w:firstLineChars="200"/>
              <w:rPr>
                <w:rFonts w:hint="eastAsia"/>
                <w:color w:val="000000" w:themeColor="text1"/>
                <w:lang w:val="en-US" w:eastAsia="zh-CN"/>
              </w:rPr>
            </w:pPr>
            <w:r>
              <w:rPr>
                <w:rFonts w:hint="eastAsia"/>
                <w:color w:val="000000" w:themeColor="text1"/>
                <w:lang w:val="en-US" w:eastAsia="zh-CN"/>
              </w:rPr>
              <w:t>能源管理体系覆盖的人数总计 25 人，与认证申请一致（请现场进行核实）。</w:t>
            </w:r>
          </w:p>
          <w:p>
            <w:pPr>
              <w:pStyle w:val="2"/>
              <w:rPr>
                <w:rFonts w:hint="default"/>
                <w:color w:val="000000" w:themeColor="text1"/>
                <w:lang w:val="en-US" w:eastAsia="zh-CN"/>
              </w:rPr>
            </w:pPr>
            <w:r>
              <w:rPr>
                <w:rFonts w:hint="eastAsia"/>
                <w:color w:val="000000" w:themeColor="text1"/>
                <w:lang w:val="en-US" w:eastAsia="zh-CN"/>
              </w:rPr>
              <w:t xml:space="preserve">   </w:t>
            </w:r>
            <w:r>
              <w:rPr>
                <w:rFonts w:hint="eastAsia" w:ascii="Times New Roman" w:hAnsi="Times New Roman" w:eastAsia="宋体" w:cs="Times New Roman"/>
                <w:color w:val="000000" w:themeColor="text1"/>
                <w:kern w:val="2"/>
                <w:sz w:val="21"/>
                <w:szCs w:val="22"/>
                <w:lang w:val="en-US" w:eastAsia="zh-CN" w:bidi="ar-SA"/>
              </w:rPr>
              <w:t xml:space="preserve"> </w:t>
            </w:r>
            <w:r>
              <w:rPr>
                <w:rFonts w:hint="eastAsia" w:eastAsia="宋体" w:cs="Times New Roman"/>
                <w:color w:val="000000" w:themeColor="text1"/>
                <w:kern w:val="2"/>
                <w:sz w:val="21"/>
                <w:szCs w:val="22"/>
                <w:lang w:val="en-US" w:eastAsia="zh-CN" w:bidi="ar-SA"/>
              </w:rPr>
              <w:t>经现场审核确认</w:t>
            </w:r>
            <w:r>
              <w:rPr>
                <w:rFonts w:hint="eastAsia" w:ascii="Times New Roman" w:hAnsi="Times New Roman" w:eastAsia="宋体" w:cs="Times New Roman"/>
                <w:color w:val="000000" w:themeColor="text1"/>
                <w:kern w:val="2"/>
                <w:sz w:val="21"/>
                <w:szCs w:val="22"/>
                <w:lang w:val="en-US" w:eastAsia="zh-CN" w:bidi="ar-SA"/>
              </w:rPr>
              <w:t>一阶段问题已整改</w:t>
            </w:r>
            <w:r>
              <w:rPr>
                <w:rFonts w:hint="eastAsia" w:eastAsia="宋体" w:cs="Times New Roman"/>
                <w:color w:val="000000" w:themeColor="text1"/>
                <w:kern w:val="2"/>
                <w:sz w:val="21"/>
                <w:szCs w:val="22"/>
                <w:lang w:val="en-US" w:eastAsia="zh-CN" w:bidi="ar-SA"/>
              </w:rPr>
              <w:t>。</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tcPr>
          <w:p>
            <w:pPr>
              <w:rPr>
                <w:rFonts w:hint="eastAsia" w:ascii="宋体" w:hAnsi="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理解组织及其所处的环境</w:t>
            </w:r>
            <w:r>
              <w:rPr>
                <w:rFonts w:hint="eastAsia" w:ascii="宋体" w:hAnsi="宋体" w:cs="Times New Roman"/>
                <w:color w:val="000000" w:themeColor="text1"/>
                <w:sz w:val="21"/>
                <w:szCs w:val="21"/>
                <w:lang w:val="en-US" w:eastAsia="zh-CN"/>
              </w:rPr>
              <w:t>，</w:t>
            </w:r>
          </w:p>
          <w:p>
            <w:pPr>
              <w:rPr>
                <w:rFonts w:hint="default"/>
                <w:color w:val="000000" w:themeColor="text1"/>
                <w:lang w:val="en-US"/>
              </w:rPr>
            </w:pPr>
            <w:r>
              <w:rPr>
                <w:rFonts w:hint="eastAsia" w:ascii="宋体" w:hAnsi="宋体" w:eastAsia="宋体" w:cs="Times New Roman"/>
                <w:color w:val="000000" w:themeColor="text1"/>
                <w:sz w:val="21"/>
                <w:szCs w:val="21"/>
                <w:lang w:val="en-US" w:eastAsia="zh-CN"/>
              </w:rPr>
              <w:t>理解相关方的需求和期望</w:t>
            </w:r>
          </w:p>
        </w:tc>
        <w:tc>
          <w:tcPr>
            <w:tcW w:w="960" w:type="dxa"/>
          </w:tcPr>
          <w:p>
            <w:pPr>
              <w:rPr>
                <w:rFonts w:hint="default"/>
                <w:color w:val="000000" w:themeColor="text1"/>
                <w:lang w:val="en-US"/>
              </w:rPr>
            </w:pPr>
            <w:r>
              <w:rPr>
                <w:rFonts w:hint="eastAsia" w:ascii="宋体" w:hAnsi="宋体" w:cs="Times New Roman"/>
                <w:color w:val="000000" w:themeColor="text1"/>
                <w:sz w:val="21"/>
                <w:szCs w:val="21"/>
                <w:lang w:val="en-US" w:eastAsia="zh-CN"/>
              </w:rPr>
              <w:t>4</w:t>
            </w:r>
            <w:r>
              <w:rPr>
                <w:rFonts w:hint="eastAsia" w:ascii="宋体" w:hAnsi="宋体" w:eastAsia="宋体" w:cs="Times New Roman"/>
                <w:color w:val="000000" w:themeColor="text1"/>
                <w:sz w:val="21"/>
                <w:szCs w:val="21"/>
                <w:lang w:val="en-US" w:eastAsia="zh-CN"/>
              </w:rPr>
              <w:t>.1</w:t>
            </w:r>
            <w:r>
              <w:rPr>
                <w:rFonts w:hint="eastAsia" w:ascii="宋体" w:hAnsi="宋体" w:cs="Times New Roman"/>
                <w:color w:val="000000" w:themeColor="text1"/>
                <w:sz w:val="21"/>
                <w:szCs w:val="21"/>
                <w:lang w:val="en-US" w:eastAsia="zh-CN"/>
              </w:rPr>
              <w:t>/4.2</w:t>
            </w:r>
          </w:p>
        </w:tc>
        <w:tc>
          <w:tcPr>
            <w:tcW w:w="10376" w:type="dxa"/>
          </w:tcPr>
          <w:p>
            <w:pPr>
              <w:ind w:firstLine="420" w:firstLineChars="200"/>
              <w:jc w:val="left"/>
              <w:rPr>
                <w:rFonts w:hint="default"/>
                <w:color w:val="000000" w:themeColor="text1"/>
                <w:lang w:val="en-US" w:eastAsia="zh-CN"/>
              </w:rPr>
            </w:pPr>
            <w:r>
              <w:rPr>
                <w:rFonts w:hint="eastAsia"/>
                <w:color w:val="000000" w:themeColor="text1"/>
                <w:lang w:val="en-US" w:eastAsia="zh-CN"/>
              </w:rPr>
              <w:t>公司在综合管理手册中“</w:t>
            </w:r>
            <w:r>
              <w:rPr>
                <w:rFonts w:hint="default"/>
                <w:color w:val="000000" w:themeColor="text1"/>
                <w:lang w:val="en-US" w:eastAsia="zh-CN"/>
              </w:rPr>
              <w:t>4.1 理解组织及其环境</w:t>
            </w:r>
            <w:r>
              <w:rPr>
                <w:rFonts w:hint="eastAsia"/>
                <w:color w:val="000000" w:themeColor="text1"/>
                <w:lang w:val="en-US" w:eastAsia="zh-CN"/>
              </w:rPr>
              <w:t>”描述：</w:t>
            </w:r>
          </w:p>
          <w:p>
            <w:pPr>
              <w:ind w:firstLine="420" w:firstLineChars="200"/>
              <w:jc w:val="left"/>
              <w:rPr>
                <w:rFonts w:hint="default"/>
                <w:color w:val="000000" w:themeColor="text1"/>
                <w:lang w:val="en-US" w:eastAsia="zh-CN"/>
              </w:rPr>
            </w:pPr>
            <w:r>
              <w:rPr>
                <w:rFonts w:hint="default"/>
                <w:color w:val="000000" w:themeColor="text1"/>
                <w:lang w:val="en-US" w:eastAsia="zh-CN"/>
              </w:rPr>
              <w:t>总经理 冯振合 应确定与本公司质量环境职业健康安全和能源目标和战略方向相关并影响实现质量环境职业健康安全和能源管理体系预期结果的各种内部因素（公司的价值观、文化、知识、绩效等相关因素）和外部因素（国际、国家、地区和当地的各种法律法规、技术、竞争、文化和社会因素等）。这些因素可以包括需要考虑的正面和负面因素或条件。</w:t>
            </w:r>
          </w:p>
          <w:p>
            <w:pPr>
              <w:ind w:firstLine="420" w:firstLineChars="200"/>
              <w:jc w:val="left"/>
              <w:rPr>
                <w:rFonts w:hint="default"/>
                <w:color w:val="000000" w:themeColor="text1"/>
                <w:lang w:val="en-US" w:eastAsia="zh-CN"/>
              </w:rPr>
            </w:pPr>
            <w:r>
              <w:rPr>
                <w:rFonts w:hint="default"/>
                <w:color w:val="000000" w:themeColor="text1"/>
                <w:lang w:val="en-US" w:eastAsia="zh-CN"/>
              </w:rPr>
              <w:t xml:space="preserve">公司定期对这些内部和外部因素的相关信息进行监视和评审，以确保其充分和适宜。 </w:t>
            </w:r>
          </w:p>
          <w:p>
            <w:pPr>
              <w:ind w:firstLine="420" w:firstLineChars="200"/>
              <w:jc w:val="left"/>
              <w:rPr>
                <w:rFonts w:hint="default"/>
                <w:color w:val="000000" w:themeColor="text1"/>
                <w:lang w:val="en-US" w:eastAsia="zh-CN"/>
              </w:rPr>
            </w:pPr>
            <w:r>
              <w:rPr>
                <w:rFonts w:hint="eastAsia"/>
                <w:color w:val="000000" w:themeColor="text1"/>
                <w:lang w:val="en-US" w:eastAsia="zh-CN"/>
              </w:rPr>
              <w:t>在“</w:t>
            </w:r>
            <w:r>
              <w:rPr>
                <w:rFonts w:hint="default"/>
                <w:color w:val="000000" w:themeColor="text1"/>
                <w:lang w:val="en-US" w:eastAsia="zh-CN"/>
              </w:rPr>
              <w:t>4.2 理解相关方的需求和期望</w:t>
            </w:r>
            <w:r>
              <w:rPr>
                <w:rFonts w:hint="eastAsia"/>
                <w:color w:val="000000" w:themeColor="text1"/>
                <w:lang w:val="en-US" w:eastAsia="zh-CN"/>
              </w:rPr>
              <w:t>”</w:t>
            </w:r>
          </w:p>
          <w:p>
            <w:pPr>
              <w:ind w:firstLine="420" w:firstLineChars="200"/>
              <w:jc w:val="left"/>
              <w:rPr>
                <w:rFonts w:hint="default"/>
                <w:color w:val="000000" w:themeColor="text1"/>
                <w:lang w:val="en-US" w:eastAsia="zh-CN"/>
              </w:rPr>
            </w:pPr>
            <w:r>
              <w:rPr>
                <w:rFonts w:hint="default"/>
                <w:color w:val="000000" w:themeColor="text1"/>
                <w:lang w:val="en-US" w:eastAsia="zh-CN"/>
              </w:rPr>
              <w:t>总经理 冯振合 负责了解相关方的需求与期望，并通过各种渠道和方式收集相关方信息，以理解相关方的需求和期望以便帮助本公司更好的建立清晰的一体化管理方针和目标，做到目的明确；由于相关方对组织持续提供符合顾客要求和适用法律法规要求的产品和服务的能力产生影响或潜在影响，因此，公司应确定：</w:t>
            </w:r>
          </w:p>
          <w:p>
            <w:pPr>
              <w:ind w:firstLine="420" w:firstLineChars="200"/>
              <w:jc w:val="left"/>
              <w:rPr>
                <w:rFonts w:hint="default"/>
                <w:color w:val="000000" w:themeColor="text1"/>
                <w:lang w:val="en-US" w:eastAsia="zh-CN"/>
              </w:rPr>
            </w:pPr>
            <w:r>
              <w:rPr>
                <w:rFonts w:hint="eastAsia"/>
                <w:color w:val="000000" w:themeColor="text1"/>
                <w:lang w:val="en-US" w:eastAsia="zh-CN"/>
              </w:rPr>
              <w:t>在：“</w:t>
            </w:r>
            <w:r>
              <w:rPr>
                <w:rFonts w:hint="default"/>
                <w:color w:val="000000" w:themeColor="text1"/>
                <w:lang w:val="en-US" w:eastAsia="zh-CN"/>
              </w:rPr>
              <w:t>4.2.1与质量、环境、职业健康安全及能源管理体系有关的相关方；</w:t>
            </w:r>
            <w:r>
              <w:rPr>
                <w:rFonts w:hint="eastAsia"/>
                <w:color w:val="000000" w:themeColor="text1"/>
                <w:lang w:val="en-US" w:eastAsia="zh-CN"/>
              </w:rPr>
              <w:t>”</w:t>
            </w:r>
          </w:p>
          <w:p>
            <w:pPr>
              <w:ind w:firstLine="420" w:firstLineChars="200"/>
              <w:jc w:val="left"/>
              <w:rPr>
                <w:rFonts w:hint="default"/>
                <w:color w:val="000000" w:themeColor="text1"/>
                <w:lang w:val="en-US" w:eastAsia="zh-CN"/>
              </w:rPr>
            </w:pPr>
            <w:r>
              <w:rPr>
                <w:rFonts w:hint="default"/>
                <w:color w:val="000000" w:themeColor="text1"/>
                <w:lang w:val="en-US" w:eastAsia="zh-CN"/>
              </w:rPr>
              <w:t xml:space="preserve"> 定兴县永巨水泥制品有限公司 的相关方包括：顾客、股东、员工、银行、外部供方、雇员及其他为组织工作者、法律法规及监管机关、非政府组织等。</w:t>
            </w:r>
          </w:p>
          <w:p>
            <w:pPr>
              <w:pStyle w:val="2"/>
              <w:rPr>
                <w:rFonts w:hint="default"/>
                <w:color w:val="000000" w:themeColor="text1"/>
                <w:lang w:val="en-US" w:eastAsia="zh-CN"/>
              </w:rPr>
            </w:pPr>
            <w:r>
              <w:rPr>
                <w:rFonts w:hint="eastAsia"/>
                <w:color w:val="000000" w:themeColor="text1"/>
                <w:lang w:val="en-US" w:eastAsia="zh-CN"/>
              </w:rPr>
              <w:t xml:space="preserve">    </w:t>
            </w:r>
            <w:r>
              <w:rPr>
                <w:rFonts w:hint="eastAsia" w:ascii="Times New Roman" w:hAnsi="Times New Roman" w:eastAsia="宋体" w:cs="Times New Roman"/>
                <w:color w:val="000000" w:themeColor="text1"/>
                <w:kern w:val="2"/>
                <w:sz w:val="21"/>
                <w:szCs w:val="22"/>
                <w:lang w:val="en-US" w:eastAsia="zh-CN" w:bidi="ar-SA"/>
              </w:rPr>
              <w:t>公司应对这些相关方及其要求的相关信息进行监视和评审，以便于理解和持续满足相关方的需求和期望。</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tcPr>
          <w:p>
            <w:pPr>
              <w:rPr>
                <w:color w:val="000000" w:themeColor="text1"/>
              </w:rPr>
            </w:pPr>
            <w:r>
              <w:rPr>
                <w:rFonts w:hint="eastAsia" w:ascii="宋体" w:hAnsi="宋体" w:eastAsia="宋体" w:cs="Times New Roman"/>
                <w:color w:val="000000" w:themeColor="text1"/>
                <w:sz w:val="21"/>
                <w:szCs w:val="21"/>
                <w:lang w:val="en-US" w:eastAsia="zh-CN"/>
              </w:rPr>
              <w:t>确定能源管理体系的范围</w:t>
            </w:r>
          </w:p>
        </w:tc>
        <w:tc>
          <w:tcPr>
            <w:tcW w:w="960" w:type="dxa"/>
          </w:tcPr>
          <w:p>
            <w:pPr>
              <w:rPr>
                <w:rFonts w:hint="eastAsia" w:eastAsia="宋体"/>
                <w:color w:val="000000" w:themeColor="text1"/>
                <w:lang w:eastAsia="zh-CN"/>
              </w:rPr>
            </w:pPr>
            <w:r>
              <w:rPr>
                <w:rFonts w:hint="eastAsia" w:ascii="宋体" w:hAnsi="宋体" w:cs="Times New Roman"/>
                <w:color w:val="000000" w:themeColor="text1"/>
                <w:sz w:val="21"/>
                <w:szCs w:val="21"/>
                <w:lang w:val="en-US" w:eastAsia="zh-CN"/>
              </w:rPr>
              <w:t>4</w:t>
            </w:r>
            <w:r>
              <w:rPr>
                <w:rFonts w:hint="eastAsia" w:ascii="宋体" w:hAnsi="宋体" w:eastAsia="宋体" w:cs="Times New Roman"/>
                <w:color w:val="000000" w:themeColor="text1"/>
                <w:sz w:val="21"/>
                <w:szCs w:val="21"/>
              </w:rPr>
              <w:t>.</w:t>
            </w:r>
            <w:r>
              <w:rPr>
                <w:rFonts w:hint="eastAsia" w:ascii="宋体" w:hAnsi="宋体" w:cs="Times New Roman"/>
                <w:color w:val="000000" w:themeColor="text1"/>
                <w:sz w:val="21"/>
                <w:szCs w:val="21"/>
                <w:lang w:val="en-US" w:eastAsia="zh-CN"/>
              </w:rPr>
              <w:t>3</w:t>
            </w:r>
          </w:p>
        </w:tc>
        <w:tc>
          <w:tcPr>
            <w:tcW w:w="10376" w:type="dxa"/>
          </w:tcPr>
          <w:p>
            <w:pPr>
              <w:ind w:firstLine="420" w:firstLineChars="200"/>
              <w:rPr>
                <w:rFonts w:hint="eastAsia"/>
                <w:color w:val="000000" w:themeColor="text1"/>
                <w:lang w:val="en-US" w:eastAsia="zh-CN"/>
              </w:rPr>
            </w:pPr>
            <w:r>
              <w:rPr>
                <w:rFonts w:hint="eastAsia"/>
                <w:color w:val="000000" w:themeColor="text1"/>
                <w:lang w:val="en-US" w:eastAsia="zh-CN"/>
              </w:rPr>
              <w:t>公司能源管理体系的边界和范围：</w:t>
            </w:r>
          </w:p>
          <w:p>
            <w:pPr>
              <w:ind w:firstLine="420" w:firstLineChars="200"/>
              <w:rPr>
                <w:rFonts w:hint="eastAsia"/>
                <w:color w:val="000000" w:themeColor="text1"/>
                <w:lang w:val="en-US" w:eastAsia="zh-CN"/>
              </w:rPr>
            </w:pPr>
            <w:r>
              <w:rPr>
                <w:rFonts w:hint="eastAsia"/>
                <w:color w:val="000000" w:themeColor="text1"/>
                <w:lang w:val="en-US" w:eastAsia="zh-CN"/>
              </w:rPr>
              <w:t>定兴县永巨水泥制品有限公司的预拌商品混凝土生产和服务所涉及的能源管理活动。</w:t>
            </w:r>
          </w:p>
          <w:p>
            <w:pPr>
              <w:ind w:firstLine="420" w:firstLineChars="200"/>
              <w:rPr>
                <w:rFonts w:hint="default" w:eastAsia="宋体"/>
                <w:color w:val="000000" w:themeColor="text1"/>
                <w:lang w:val="en-US" w:eastAsia="zh-CN"/>
              </w:rPr>
            </w:pPr>
            <w:r>
              <w:rPr>
                <w:rFonts w:hint="eastAsia"/>
                <w:color w:val="000000" w:themeColor="text1"/>
                <w:lang w:val="en-US" w:eastAsia="zh-CN"/>
              </w:rPr>
              <w:t>核算边界：位于河北省保定市定兴县肖村乡六里屯村东的定兴县永巨水泥制品有限公司的预拌商品混凝土生产和服务所涉及的能源管理活动，该活动涵盖了能源购入、转换、输送、使用所涉及的生产系统、辅助生产系统和附属生产系统活动全过程。</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能源管理体系的建立与策划</w:t>
            </w:r>
          </w:p>
        </w:tc>
        <w:tc>
          <w:tcPr>
            <w:tcW w:w="960" w:type="dxa"/>
          </w:tcPr>
          <w:p>
            <w:pPr>
              <w:rPr>
                <w:rFonts w:hint="default" w:ascii="宋体" w:hAnsi="宋体" w:cs="Times New Roman"/>
                <w:color w:val="000000" w:themeColor="text1"/>
                <w:sz w:val="21"/>
                <w:szCs w:val="21"/>
                <w:lang w:val="en-US" w:eastAsia="zh-CN"/>
              </w:rPr>
            </w:pPr>
            <w:r>
              <w:rPr>
                <w:rFonts w:hint="eastAsia" w:ascii="宋体" w:hAnsi="宋体" w:cs="Times New Roman"/>
                <w:color w:val="000000" w:themeColor="text1"/>
                <w:sz w:val="21"/>
                <w:szCs w:val="21"/>
                <w:lang w:val="en-US" w:eastAsia="zh-CN"/>
              </w:rPr>
              <w:t>4.4</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公司总经理</w:t>
            </w:r>
            <w:r>
              <w:rPr>
                <w:rFonts w:hint="eastAsia" w:ascii="Times New Roman" w:hAnsi="Times New Roman" w:cs="Times New Roman"/>
                <w:color w:val="000000" w:themeColor="text1"/>
                <w:szCs w:val="22"/>
                <w:lang w:val="en-US" w:eastAsia="zh-CN"/>
              </w:rPr>
              <w:t>冯振合</w:t>
            </w:r>
            <w:r>
              <w:rPr>
                <w:rFonts w:hint="eastAsia"/>
                <w:color w:val="000000" w:themeColor="text1"/>
                <w:sz w:val="20"/>
                <w:lang w:val="en-US" w:eastAsia="zh-CN"/>
              </w:rPr>
              <w:t>重视节能降耗工作，任命副总经理</w:t>
            </w:r>
            <w:r>
              <w:rPr>
                <w:rFonts w:hint="eastAsia" w:hAnsi="宋体"/>
                <w:b/>
                <w:bCs/>
                <w:color w:val="000000" w:themeColor="text1"/>
                <w:szCs w:val="21"/>
                <w:u w:val="single"/>
                <w:lang w:val="en-US" w:eastAsia="zh-CN"/>
              </w:rPr>
              <w:t>朱如华</w:t>
            </w:r>
            <w:r>
              <w:rPr>
                <w:rFonts w:hint="eastAsia"/>
                <w:color w:val="000000" w:themeColor="text1"/>
                <w:sz w:val="20"/>
                <w:lang w:val="en-US" w:eastAsia="zh-CN"/>
              </w:rPr>
              <w:t>为能源体系管理者代表，具体负责能源管理工作。为了系统高效地开展节约能源工作，使公司原有的节能管理更加系统化、规范化、标准化，公司根据GB/T 23332-2020 idt ISO 50001:2018、RBT 121-2016 《能源管理体系 建材企业(不含水泥、玻璃、陶瓷)企业认证要求》标准及国家相关法律法规，充分结合本公司能源管理的实际情况，建立能源管理体系，并编写QESEn整合“管理手册”及相应的能源控制文件，通过全面系统的策划、实施、检查和改进，对能源管理的全过程进行系统的科学监控，有效控制能源消耗并最终实现提高能源利用效率、降低能源消耗的目的。能源管理体系自2021年4月1日正式实施运行以来，至今已取得较好的能源绩效 。</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领导作用和承诺</w:t>
            </w:r>
          </w:p>
        </w:tc>
        <w:tc>
          <w:tcPr>
            <w:tcW w:w="960" w:type="dxa"/>
          </w:tcPr>
          <w:p>
            <w:pPr>
              <w:rPr>
                <w:rFonts w:hint="eastAsia" w:ascii="宋体" w:hAnsi="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5.1 </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公司总经理（最高管理者）在QESEn《管理手册》中承诺支持能源管理体系，并持续改进能源管理体系的有效性，通过贯彻落实国家及政府各项能源法规和政策、组建能源管理团队、建立能源方针、目标和能源指标、确保提供能源管理体系所需的资源、确保能源管理措施计划得以批准和实施、促进能源绩效和能源管理体系的持续改进、指导并支持员工为能源管理体系的有效性和能源绩效改进做出贡献等活动得以落实，均符合标准的要求。</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default"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能源方针</w:t>
            </w:r>
            <w:r>
              <w:rPr>
                <w:rFonts w:hint="eastAsia" w:ascii="宋体" w:hAnsi="宋体" w:cs="Times New Roman"/>
                <w:color w:val="000000" w:themeColor="text1"/>
                <w:sz w:val="21"/>
                <w:szCs w:val="21"/>
                <w:lang w:val="en-US" w:eastAsia="zh-CN"/>
              </w:rPr>
              <w:t>、目标指标</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5.2</w:t>
            </w:r>
            <w:r>
              <w:rPr>
                <w:rFonts w:hint="eastAsia" w:ascii="宋体" w:hAnsi="宋体" w:cs="Times New Roman"/>
                <w:color w:val="000000" w:themeColor="text1"/>
                <w:sz w:val="21"/>
                <w:szCs w:val="21"/>
                <w:lang w:val="en-US" w:eastAsia="zh-CN"/>
              </w:rPr>
              <w:t>/6.2</w:t>
            </w:r>
            <w:r>
              <w:rPr>
                <w:rFonts w:hint="eastAsia" w:ascii="宋体" w:hAnsi="宋体" w:eastAsia="宋体" w:cs="Times New Roman"/>
                <w:color w:val="000000" w:themeColor="text1"/>
                <w:sz w:val="21"/>
                <w:szCs w:val="21"/>
                <w:lang w:val="en-US" w:eastAsia="zh-CN"/>
              </w:rPr>
              <w:t xml:space="preserve"> </w:t>
            </w:r>
          </w:p>
        </w:tc>
        <w:tc>
          <w:tcPr>
            <w:tcW w:w="10376" w:type="dxa"/>
          </w:tcPr>
          <w:p>
            <w:pPr>
              <w:ind w:firstLine="420" w:firstLineChars="200"/>
              <w:rPr>
                <w:rFonts w:hint="eastAsia"/>
                <w:color w:val="000000" w:themeColor="text1"/>
                <w:lang w:val="en-US" w:eastAsia="zh-CN"/>
              </w:rPr>
            </w:pPr>
            <w:r>
              <w:rPr>
                <w:rFonts w:hint="eastAsia"/>
                <w:color w:val="000000" w:themeColor="text1"/>
                <w:lang w:val="en-US" w:eastAsia="zh-CN"/>
              </w:rPr>
              <w:t>公司的质量、环境、职业健康安全和能源管理方针：</w:t>
            </w:r>
          </w:p>
          <w:p>
            <w:pPr>
              <w:ind w:firstLine="420" w:firstLineChars="200"/>
              <w:rPr>
                <w:rFonts w:hint="eastAsia"/>
                <w:color w:val="000000" w:themeColor="text1"/>
                <w:lang w:val="en-US" w:eastAsia="zh-CN"/>
              </w:rPr>
            </w:pPr>
            <w:r>
              <w:rPr>
                <w:rFonts w:hint="eastAsia"/>
                <w:color w:val="000000" w:themeColor="text1"/>
                <w:lang w:val="en-US" w:eastAsia="zh-CN"/>
              </w:rPr>
              <w:t>质量第一，顾客至上，顾客满意；预防污染，节约能源，保护环境；关注健康，保障安全，持续改进；</w:t>
            </w:r>
          </w:p>
          <w:p>
            <w:pPr>
              <w:ind w:firstLine="420" w:firstLineChars="200"/>
              <w:rPr>
                <w:rFonts w:hint="eastAsia"/>
                <w:color w:val="000000" w:themeColor="text1"/>
                <w:lang w:val="en-US" w:eastAsia="zh-CN"/>
              </w:rPr>
            </w:pPr>
            <w:r>
              <w:rPr>
                <w:rFonts w:hint="eastAsia"/>
                <w:color w:val="000000" w:themeColor="text1"/>
                <w:lang w:val="en-US" w:eastAsia="zh-CN"/>
              </w:rPr>
              <w:t>管理方针涵盖了能源方针内容基本符合标准要求和企业实际。能源方针由总经理批准发布，以书面、电子媒介、宣传栏等方式，便于员工、顾客及其他相关方所获取，并且予以评审。</w:t>
            </w:r>
          </w:p>
          <w:p>
            <w:pPr>
              <w:pStyle w:val="2"/>
              <w:ind w:firstLine="400"/>
              <w:rPr>
                <w:rFonts w:hint="default" w:ascii="Times New Roman" w:hAnsi="Times New Roman" w:eastAsia="宋体" w:cs="Times New Roman"/>
                <w:color w:val="000000" w:themeColor="text1"/>
                <w:kern w:val="2"/>
                <w:sz w:val="21"/>
                <w:szCs w:val="22"/>
                <w:lang w:val="en-US" w:eastAsia="zh-CN" w:bidi="ar-SA"/>
              </w:rPr>
            </w:pPr>
            <w:r>
              <w:rPr>
                <w:rFonts w:hint="eastAsia" w:ascii="Times New Roman" w:hAnsi="Times New Roman" w:eastAsia="宋体" w:cs="Times New Roman"/>
                <w:color w:val="000000" w:themeColor="text1"/>
                <w:kern w:val="2"/>
                <w:sz w:val="21"/>
                <w:szCs w:val="22"/>
                <w:lang w:val="en-US" w:eastAsia="zh-CN" w:bidi="ar-SA"/>
              </w:rPr>
              <w:t>公司的能源管理目标：生产能耗≤0.3kgce/m</w:t>
            </w:r>
            <w:r>
              <w:rPr>
                <w:rFonts w:hint="eastAsia" w:ascii="Times New Roman" w:hAnsi="Times New Roman" w:eastAsia="宋体" w:cs="Times New Roman"/>
                <w:color w:val="000000" w:themeColor="text1"/>
                <w:kern w:val="2"/>
                <w:sz w:val="21"/>
                <w:szCs w:val="22"/>
                <w:vertAlign w:val="superscript"/>
                <w:lang w:val="en-US" w:eastAsia="zh-CN" w:bidi="ar-SA"/>
              </w:rPr>
              <w:t>3</w:t>
            </w:r>
            <w:r>
              <w:rPr>
                <w:rFonts w:hint="eastAsia" w:ascii="Times New Roman" w:hAnsi="Times New Roman" w:eastAsia="宋体" w:cs="Times New Roman"/>
                <w:color w:val="000000" w:themeColor="text1"/>
                <w:kern w:val="2"/>
                <w:sz w:val="21"/>
                <w:szCs w:val="22"/>
                <w:lang w:val="en-US" w:eastAsia="zh-CN" w:bidi="ar-SA"/>
              </w:rPr>
              <w:t>。</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组织的岗位、职责和权限</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5.3 </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公司下设生产部、技术部、财务部、市场部、综合办公室等部门，构建了完善了部门管理体系及运行体系，公司现有员工46人，其中高级工程师1人，中级职称技术人员4人，试验员4人，年轻化、专业化、高素质的业务及技术管理人员若干，为公司的可持续健康发展奠定坚实基础。提供有《主要岗位任职要求YJ-ZD01-2021》《主要岗位人员职责</w:t>
            </w:r>
            <w:r>
              <w:rPr>
                <w:rFonts w:hint="eastAsia"/>
                <w:color w:val="000000" w:themeColor="text1"/>
                <w:sz w:val="20"/>
                <w:lang w:val="en-US" w:eastAsia="zh-CN"/>
              </w:rPr>
              <w:tab/>
            </w:r>
            <w:r>
              <w:rPr>
                <w:rFonts w:hint="eastAsia"/>
                <w:color w:val="000000" w:themeColor="text1"/>
                <w:sz w:val="20"/>
                <w:lang w:val="en-US" w:eastAsia="zh-CN"/>
              </w:rPr>
              <w:t>YJ-ZD02-2021》。</w:t>
            </w:r>
          </w:p>
          <w:p>
            <w:pPr>
              <w:ind w:firstLine="400" w:firstLineChars="200"/>
              <w:rPr>
                <w:rFonts w:hint="eastAsia"/>
                <w:color w:val="000000" w:themeColor="text1"/>
                <w:sz w:val="20"/>
                <w:lang w:val="en-US" w:eastAsia="zh-CN"/>
              </w:rPr>
            </w:pPr>
            <w:r>
              <w:rPr>
                <w:rFonts w:hint="eastAsia"/>
                <w:color w:val="000000" w:themeColor="text1"/>
                <w:sz w:val="20"/>
                <w:lang w:val="en-US" w:eastAsia="zh-CN"/>
              </w:rPr>
              <w:t>从管理层到各部门、各岗位能源职责权限均以文件化予以规定（在《管理手册》5.3条款中予以规定），编审批齐全。</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应对风险和机遇的措施</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6.1</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在《管理手册》中“6.1  应对风险和机遇的措施”</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公司经营过程中，风险无处不在。策划管理体系时，公司各职能部门（ 综管部  生产部  技术部  材料供应部  财务部  销售部  ）要在考虑内外部环境和相关方需求基础上，分析存在的风险和机遇，确定应对措施，评价措施的有效性。</w:t>
            </w:r>
          </w:p>
          <w:p>
            <w:pPr>
              <w:ind w:firstLine="400" w:firstLineChars="200"/>
              <w:rPr>
                <w:rFonts w:hint="eastAsia"/>
                <w:color w:val="000000" w:themeColor="text1"/>
                <w:sz w:val="20"/>
                <w:lang w:val="en-US" w:eastAsia="zh-CN"/>
              </w:rPr>
            </w:pPr>
            <w:r>
              <w:rPr>
                <w:rFonts w:hint="eastAsia"/>
                <w:color w:val="000000" w:themeColor="text1"/>
                <w:sz w:val="20"/>
                <w:lang w:val="en-US" w:eastAsia="zh-CN"/>
              </w:rPr>
              <w:t>策划能源管理体系时，应考虑应对风险和机遇，并对影响能源绩效的组织活动和过程进行评审。策划应与能源方针保持一致，并应形成持续改进能源绩效的措施。应确定需要应对的风险和机遇，组织已策划了《风险和机遇应对措施控制程序》。</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资源</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7.1 </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本公司注册资金：2500万元；位于河北省保定市定兴县肖村乡六里屯村东，107国道旁，占地面积25000平方米。</w:t>
            </w:r>
          </w:p>
          <w:p>
            <w:pPr>
              <w:ind w:firstLine="400" w:firstLineChars="200"/>
              <w:rPr>
                <w:rFonts w:hint="default"/>
                <w:color w:val="000000" w:themeColor="text1"/>
                <w:sz w:val="20"/>
                <w:lang w:val="en-US" w:eastAsia="zh-CN"/>
              </w:rPr>
            </w:pPr>
            <w:r>
              <w:rPr>
                <w:rFonts w:hint="eastAsia"/>
                <w:color w:val="000000" w:themeColor="text1"/>
                <w:sz w:val="20"/>
                <w:lang w:val="en-US" w:eastAsia="zh-CN"/>
              </w:rPr>
              <w:t>1、提供《设备管理台帐》，共有103台套设备，主要有：混凝土搅拌站、轮胎式装载机、轮胎式装载机、除尘雾炮机、除尘雾炮机、新能源洒水车等。满足实际生产要求。</w:t>
            </w:r>
          </w:p>
          <w:p>
            <w:pPr>
              <w:ind w:firstLine="400" w:firstLineChars="200"/>
              <w:rPr>
                <w:rFonts w:hint="eastAsia"/>
                <w:color w:val="000000" w:themeColor="text1"/>
                <w:sz w:val="20"/>
                <w:lang w:val="en-US" w:eastAsia="zh-CN"/>
              </w:rPr>
            </w:pPr>
            <w:r>
              <w:rPr>
                <w:rFonts w:hint="eastAsia"/>
                <w:color w:val="000000" w:themeColor="text1"/>
                <w:sz w:val="20"/>
                <w:lang w:val="en-US" w:eastAsia="zh-CN"/>
              </w:rPr>
              <w:t>2、配备有《监视和测量设备管理台帐》，电子配料称18台，电子汽车衡4台，电子精密天平、电子天平各二台。</w:t>
            </w:r>
          </w:p>
          <w:p>
            <w:pPr>
              <w:ind w:firstLine="400" w:firstLineChars="200"/>
              <w:rPr>
                <w:rFonts w:hint="eastAsia" w:eastAsia="宋体"/>
                <w:color w:val="000000" w:themeColor="text1"/>
                <w:sz w:val="20"/>
                <w:lang w:val="en-US" w:eastAsia="zh-CN"/>
              </w:rPr>
            </w:pPr>
            <w:r>
              <w:rPr>
                <w:rFonts w:hint="eastAsia"/>
                <w:color w:val="000000" w:themeColor="text1"/>
                <w:sz w:val="20"/>
                <w:lang w:val="en-US" w:eastAsia="zh-CN"/>
              </w:rPr>
              <w:t>3、公司有一支经验丰富的专业研发团队，</w:t>
            </w:r>
            <w:r>
              <w:rPr>
                <w:rFonts w:hint="eastAsia"/>
                <w:color w:val="000000" w:themeColor="text1"/>
                <w:szCs w:val="21"/>
              </w:rPr>
              <w:t xml:space="preserve">公司现有员工46人，其中高级工程师1人，中级职称技术人员4人，试验员4人，年轻化、专业化、高素质的业务及技术管理人员若干，为公司的可持续健康发展奠定坚实基础；经核实涉及能源管理体系覆盖员工约 </w:t>
            </w:r>
            <w:r>
              <w:rPr>
                <w:rFonts w:hint="eastAsia"/>
                <w:color w:val="000000" w:themeColor="text1"/>
                <w:szCs w:val="21"/>
                <w:lang w:val="en-US" w:eastAsia="zh-CN"/>
              </w:rPr>
              <w:t>25</w:t>
            </w:r>
            <w:r>
              <w:rPr>
                <w:rFonts w:hint="eastAsia"/>
                <w:color w:val="000000" w:themeColor="text1"/>
                <w:szCs w:val="21"/>
              </w:rPr>
              <w:t>人，管理人员6人；操作人员</w:t>
            </w:r>
            <w:r>
              <w:rPr>
                <w:rFonts w:hint="eastAsia"/>
                <w:color w:val="000000" w:themeColor="text1"/>
                <w:szCs w:val="21"/>
                <w:lang w:val="en-US" w:eastAsia="zh-CN"/>
              </w:rPr>
              <w:t>19</w:t>
            </w:r>
            <w:r>
              <w:rPr>
                <w:rFonts w:hint="eastAsia"/>
                <w:color w:val="000000" w:themeColor="text1"/>
                <w:szCs w:val="21"/>
              </w:rPr>
              <w:t>人；劳务派遣人员 0 人；临时工0 人；季节工0人。</w:t>
            </w:r>
          </w:p>
          <w:p>
            <w:pPr>
              <w:ind w:firstLine="400" w:firstLineChars="200"/>
              <w:rPr>
                <w:rFonts w:hint="eastAsia"/>
                <w:color w:val="000000" w:themeColor="text1"/>
                <w:sz w:val="20"/>
                <w:lang w:val="en-US" w:eastAsia="zh-CN"/>
              </w:rPr>
            </w:pPr>
            <w:r>
              <w:rPr>
                <w:rFonts w:hint="eastAsia"/>
                <w:color w:val="000000" w:themeColor="text1"/>
                <w:sz w:val="20"/>
                <w:lang w:val="en-US" w:eastAsia="zh-CN"/>
              </w:rPr>
              <w:t>资源配置能够满足建立、实施、保持和持续改进能源绩效和能源管理体系的有效运行。</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管理评审</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9.3 </w:t>
            </w:r>
          </w:p>
        </w:tc>
        <w:tc>
          <w:tcPr>
            <w:tcW w:w="10376" w:type="dxa"/>
          </w:tcPr>
          <w:p>
            <w:pPr>
              <w:ind w:firstLine="400" w:firstLineChars="200"/>
              <w:rPr>
                <w:rFonts w:hint="eastAsia"/>
                <w:color w:val="000000" w:themeColor="text1"/>
                <w:sz w:val="20"/>
                <w:lang w:val="en-US" w:eastAsia="zh-CN"/>
              </w:rPr>
            </w:pPr>
            <w:r>
              <w:rPr>
                <w:rFonts w:hint="eastAsia"/>
                <w:color w:val="000000" w:themeColor="text1"/>
                <w:sz w:val="20"/>
                <w:lang w:val="en-US" w:eastAsia="zh-CN"/>
              </w:rPr>
              <w:t>一、公司自能源管理体系运行以来组织了一次管理评审，日期： 2021年9月28日。</w:t>
            </w:r>
          </w:p>
          <w:p>
            <w:pPr>
              <w:ind w:firstLine="400" w:firstLineChars="200"/>
              <w:rPr>
                <w:rFonts w:hint="eastAsia"/>
                <w:color w:val="000000" w:themeColor="text1"/>
                <w:sz w:val="20"/>
                <w:lang w:val="en-US" w:eastAsia="zh-CN"/>
              </w:rPr>
            </w:pPr>
            <w:r>
              <w:rPr>
                <w:rFonts w:hint="eastAsia"/>
                <w:color w:val="000000" w:themeColor="text1"/>
                <w:sz w:val="20"/>
                <w:lang w:val="en-US" w:eastAsia="zh-CN"/>
              </w:rPr>
              <w:t>采用会议形式，总经理冯振合主持会议。</w:t>
            </w:r>
          </w:p>
          <w:p>
            <w:pPr>
              <w:ind w:firstLine="400" w:firstLineChars="200"/>
              <w:rPr>
                <w:rFonts w:hint="default"/>
                <w:color w:val="000000" w:themeColor="text1"/>
                <w:sz w:val="20"/>
                <w:lang w:val="en-US" w:eastAsia="zh-CN"/>
              </w:rPr>
            </w:pPr>
            <w:r>
              <w:rPr>
                <w:rFonts w:hint="eastAsia"/>
                <w:color w:val="000000" w:themeColor="text1"/>
                <w:sz w:val="20"/>
                <w:lang w:val="en-US" w:eastAsia="zh-CN"/>
              </w:rPr>
              <w:t>二、提供：管理评审档案，含  1.管理评审计划、2.会议通知、3.管理评审报告、4.签到表、5.各部门管理评审输入资料，编审批齐全。</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出示“管理评审会议签到表”总经理、中层以上负责人参加并签到；</w:t>
            </w:r>
          </w:p>
          <w:p>
            <w:pPr>
              <w:pStyle w:val="2"/>
              <w:jc w:val="center"/>
              <w:rPr>
                <w:rFonts w:hint="eastAsia"/>
                <w:color w:val="000000" w:themeColor="text1"/>
                <w:lang w:val="en-US" w:eastAsia="zh-CN"/>
              </w:rPr>
            </w:pPr>
          </w:p>
          <w:tbl>
            <w:tblPr>
              <w:tblStyle w:val="7"/>
              <w:tblW w:w="5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4"/>
              <w:gridCol w:w="1444"/>
              <w:gridCol w:w="1445"/>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管理评审时间</w:t>
                  </w:r>
                </w:p>
              </w:tc>
              <w:tc>
                <w:tcPr>
                  <w:tcW w:w="1444" w:type="dxa"/>
                  <w:shd w:val="clear" w:color="auto" w:fill="auto"/>
                </w:tcPr>
                <w:p>
                  <w:pPr>
                    <w:rPr>
                      <w:rFonts w:hint="eastAsia"/>
                      <w:color w:val="000000" w:themeColor="text1"/>
                      <w:sz w:val="21"/>
                      <w:szCs w:val="21"/>
                    </w:rPr>
                  </w:pPr>
                  <w:r>
                    <w:rPr>
                      <w:rFonts w:hint="eastAsia"/>
                      <w:color w:val="000000" w:themeColor="text1"/>
                      <w:sz w:val="21"/>
                      <w:szCs w:val="21"/>
                    </w:rPr>
                    <w:t xml:space="preserve">2021/9/28 </w:t>
                  </w:r>
                </w:p>
                <w:p>
                  <w:pPr>
                    <w:rPr>
                      <w:rFonts w:hint="eastAsia"/>
                      <w:color w:val="000000" w:themeColor="text1"/>
                      <w:sz w:val="21"/>
                      <w:szCs w:val="21"/>
                    </w:rPr>
                  </w:pPr>
                  <w:r>
                    <w:rPr>
                      <w:rFonts w:hint="eastAsia"/>
                      <w:color w:val="000000" w:themeColor="text1"/>
                      <w:sz w:val="21"/>
                      <w:szCs w:val="21"/>
                    </w:rPr>
                    <w:t>上午9:00</w:t>
                  </w:r>
                </w:p>
              </w:tc>
              <w:tc>
                <w:tcPr>
                  <w:tcW w:w="1445" w:type="dxa"/>
                  <w:shd w:val="clear" w:color="auto" w:fill="auto"/>
                </w:tcPr>
                <w:p>
                  <w:pPr>
                    <w:jc w:val="center"/>
                    <w:rPr>
                      <w:rFonts w:hint="eastAsia"/>
                      <w:color w:val="000000" w:themeColor="text1"/>
                      <w:sz w:val="21"/>
                      <w:szCs w:val="21"/>
                    </w:rPr>
                  </w:pPr>
                  <w:r>
                    <w:rPr>
                      <w:rFonts w:hint="eastAsia"/>
                      <w:color w:val="000000" w:themeColor="text1"/>
                      <w:sz w:val="21"/>
                      <w:szCs w:val="21"/>
                    </w:rPr>
                    <w:t>会议地点</w:t>
                  </w:r>
                </w:p>
              </w:tc>
              <w:tc>
                <w:tcPr>
                  <w:tcW w:w="1445" w:type="dxa"/>
                  <w:shd w:val="clear" w:color="auto" w:fill="auto"/>
                </w:tcPr>
                <w:p>
                  <w:pPr>
                    <w:jc w:val="center"/>
                    <w:rPr>
                      <w:rFonts w:hint="eastAsia"/>
                      <w:color w:val="000000" w:themeColor="text1"/>
                      <w:sz w:val="21"/>
                      <w:szCs w:val="21"/>
                    </w:rPr>
                  </w:pPr>
                  <w:r>
                    <w:rPr>
                      <w:rFonts w:hint="eastAsia"/>
                      <w:color w:val="000000" w:themeColor="text1"/>
                      <w:sz w:val="21"/>
                      <w:szCs w:val="21"/>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主持人</w:t>
                  </w:r>
                </w:p>
              </w:tc>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冯振合</w:t>
                  </w:r>
                </w:p>
              </w:tc>
              <w:tc>
                <w:tcPr>
                  <w:tcW w:w="1445" w:type="dxa"/>
                  <w:shd w:val="clear" w:color="auto" w:fill="auto"/>
                </w:tcPr>
                <w:p>
                  <w:pPr>
                    <w:jc w:val="center"/>
                    <w:rPr>
                      <w:rFonts w:hint="eastAsia"/>
                      <w:color w:val="000000" w:themeColor="text1"/>
                      <w:sz w:val="21"/>
                      <w:szCs w:val="21"/>
                    </w:rPr>
                  </w:pPr>
                </w:p>
              </w:tc>
              <w:tc>
                <w:tcPr>
                  <w:tcW w:w="1445" w:type="dxa"/>
                  <w:shd w:val="clear" w:color="auto" w:fill="auto"/>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5778" w:type="dxa"/>
                  <w:gridSpan w:val="4"/>
                  <w:shd w:val="clear" w:color="auto" w:fill="auto"/>
                </w:tcPr>
                <w:p>
                  <w:pPr>
                    <w:rPr>
                      <w:rFonts w:hint="eastAsia"/>
                      <w:color w:val="000000" w:themeColor="text1"/>
                      <w:sz w:val="21"/>
                      <w:szCs w:val="21"/>
                    </w:rPr>
                  </w:pPr>
                  <w:r>
                    <w:rPr>
                      <w:rFonts w:hint="eastAsia"/>
                      <w:color w:val="000000" w:themeColor="text1"/>
                      <w:sz w:val="21"/>
                      <w:szCs w:val="21"/>
                    </w:rPr>
                    <w:t>参加人员签到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3" w:hRule="atLeast"/>
                <w:jc w:val="center"/>
              </w:trPr>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部门</w:t>
                  </w:r>
                </w:p>
              </w:tc>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职务</w:t>
                  </w:r>
                </w:p>
              </w:tc>
              <w:tc>
                <w:tcPr>
                  <w:tcW w:w="1445" w:type="dxa"/>
                  <w:shd w:val="clear" w:color="auto" w:fill="auto"/>
                </w:tcPr>
                <w:p>
                  <w:pPr>
                    <w:jc w:val="center"/>
                    <w:rPr>
                      <w:rFonts w:hint="eastAsia"/>
                      <w:color w:val="000000" w:themeColor="text1"/>
                      <w:sz w:val="21"/>
                      <w:szCs w:val="21"/>
                    </w:rPr>
                  </w:pPr>
                  <w:r>
                    <w:rPr>
                      <w:rFonts w:hint="eastAsia"/>
                      <w:color w:val="000000" w:themeColor="text1"/>
                      <w:sz w:val="21"/>
                      <w:szCs w:val="21"/>
                    </w:rPr>
                    <w:t>姓名</w:t>
                  </w:r>
                </w:p>
              </w:tc>
              <w:tc>
                <w:tcPr>
                  <w:tcW w:w="1445" w:type="dxa"/>
                  <w:shd w:val="clear" w:color="auto" w:fill="auto"/>
                </w:tcPr>
                <w:p>
                  <w:pPr>
                    <w:jc w:val="center"/>
                    <w:rPr>
                      <w:rFonts w:hint="eastAsia"/>
                      <w:color w:val="000000" w:themeColor="text1"/>
                      <w:sz w:val="21"/>
                      <w:szCs w:val="21"/>
                    </w:rPr>
                  </w:pPr>
                  <w:r>
                    <w:rPr>
                      <w:rFonts w:hint="eastAsia"/>
                      <w:color w:val="000000" w:themeColor="text1"/>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tcPr>
                <w:p>
                  <w:pPr>
                    <w:jc w:val="center"/>
                    <w:rPr>
                      <w:rFonts w:hint="eastAsia"/>
                      <w:color w:val="000000" w:themeColor="text1"/>
                      <w:sz w:val="21"/>
                      <w:szCs w:val="21"/>
                    </w:rPr>
                  </w:pPr>
                </w:p>
              </w:tc>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总经理</w:t>
                  </w:r>
                </w:p>
              </w:tc>
              <w:tc>
                <w:tcPr>
                  <w:tcW w:w="1445" w:type="dxa"/>
                  <w:shd w:val="clear" w:color="auto" w:fill="auto"/>
                </w:tcPr>
                <w:p>
                  <w:pPr>
                    <w:jc w:val="left"/>
                    <w:rPr>
                      <w:rFonts w:hint="eastAsia"/>
                      <w:color w:val="000000" w:themeColor="text1"/>
                      <w:sz w:val="21"/>
                      <w:szCs w:val="21"/>
                    </w:rPr>
                  </w:pPr>
                  <w:r>
                    <w:rPr>
                      <w:rFonts w:hint="eastAsia"/>
                      <w:color w:val="000000" w:themeColor="text1"/>
                      <w:sz w:val="21"/>
                      <w:szCs w:val="21"/>
                    </w:rPr>
                    <w:t>冯振合</w:t>
                  </w:r>
                </w:p>
              </w:tc>
              <w:tc>
                <w:tcPr>
                  <w:tcW w:w="1445" w:type="dxa"/>
                  <w:shd w:val="clear" w:color="auto" w:fill="auto"/>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tcPr>
                <w:p>
                  <w:pPr>
                    <w:jc w:val="center"/>
                    <w:rPr>
                      <w:rFonts w:hint="eastAsia"/>
                      <w:color w:val="000000" w:themeColor="text1"/>
                      <w:sz w:val="21"/>
                      <w:szCs w:val="21"/>
                    </w:rPr>
                  </w:pPr>
                </w:p>
              </w:tc>
              <w:tc>
                <w:tcPr>
                  <w:tcW w:w="1444" w:type="dxa"/>
                  <w:shd w:val="clear" w:color="auto" w:fill="auto"/>
                </w:tcPr>
                <w:p>
                  <w:pPr>
                    <w:jc w:val="center"/>
                    <w:rPr>
                      <w:rFonts w:hint="eastAsia"/>
                      <w:color w:val="000000" w:themeColor="text1"/>
                      <w:sz w:val="21"/>
                      <w:szCs w:val="21"/>
                    </w:rPr>
                  </w:pPr>
                  <w:r>
                    <w:rPr>
                      <w:rFonts w:hint="eastAsia"/>
                      <w:color w:val="000000" w:themeColor="text1"/>
                      <w:sz w:val="21"/>
                      <w:szCs w:val="21"/>
                    </w:rPr>
                    <w:t>体系负责人</w:t>
                  </w:r>
                </w:p>
              </w:tc>
              <w:tc>
                <w:tcPr>
                  <w:tcW w:w="1445" w:type="dxa"/>
                  <w:shd w:val="clear" w:color="auto" w:fill="auto"/>
                </w:tcPr>
                <w:p>
                  <w:pPr>
                    <w:jc w:val="left"/>
                    <w:rPr>
                      <w:rFonts w:hint="eastAsia"/>
                      <w:color w:val="000000" w:themeColor="text1"/>
                      <w:sz w:val="21"/>
                      <w:szCs w:val="21"/>
                    </w:rPr>
                  </w:pPr>
                  <w:r>
                    <w:rPr>
                      <w:rFonts w:hint="eastAsia"/>
                      <w:color w:val="000000" w:themeColor="text1"/>
                      <w:sz w:val="21"/>
                      <w:szCs w:val="21"/>
                    </w:rPr>
                    <w:t>朱如华</w:t>
                  </w:r>
                </w:p>
              </w:tc>
              <w:tc>
                <w:tcPr>
                  <w:tcW w:w="1445" w:type="dxa"/>
                  <w:shd w:val="clear" w:color="auto" w:fill="auto"/>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综管部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朱如华</w:t>
                  </w:r>
                </w:p>
              </w:tc>
              <w:tc>
                <w:tcPr>
                  <w:tcW w:w="1445" w:type="dxa"/>
                  <w:shd w:val="clear" w:color="auto" w:fill="auto"/>
                  <w:vAlign w:val="center"/>
                </w:tcPr>
                <w:p>
                  <w:pPr>
                    <w:tabs>
                      <w:tab w:val="left" w:pos="507"/>
                    </w:tabs>
                    <w:jc w:val="left"/>
                    <w:rPr>
                      <w:rFonts w:hint="eastAsia" w:eastAsia="宋体"/>
                      <w:color w:val="000000" w:themeColor="text1"/>
                      <w:sz w:val="21"/>
                      <w:szCs w:val="21"/>
                      <w:lang w:val="en-US" w:eastAsia="zh-CN" w:bidi="ar-SA"/>
                    </w:rPr>
                  </w:pPr>
                  <w:r>
                    <w:rPr>
                      <w:rFonts w:hint="eastAsia"/>
                      <w:color w:val="000000" w:themeColor="text1"/>
                      <w:sz w:val="21"/>
                      <w:szCs w:val="21"/>
                      <w:lang w:val="en-US" w:eastAsia="zh-CN" w:bidi="ar-SA"/>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生产部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张义德</w:t>
                  </w: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技术部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邸彦辉</w:t>
                  </w: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材料供应部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张虎林</w:t>
                  </w: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财务部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李垚</w:t>
                  </w: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tcBorders>
                    <w:bottom w:val="single" w:color="auto" w:sz="4" w:space="0"/>
                  </w:tcBorders>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销售部</w:t>
                  </w:r>
                </w:p>
              </w:tc>
              <w:tc>
                <w:tcPr>
                  <w:tcW w:w="1444" w:type="dxa"/>
                  <w:shd w:val="clear" w:color="auto" w:fill="auto"/>
                  <w:vAlign w:val="center"/>
                </w:tcPr>
                <w:p>
                  <w:pPr>
                    <w:jc w:val="center"/>
                    <w:rPr>
                      <w:rFonts w:hint="eastAsia"/>
                      <w:color w:val="000000" w:themeColor="text1"/>
                      <w:sz w:val="21"/>
                      <w:szCs w:val="21"/>
                    </w:rPr>
                  </w:pPr>
                  <w:r>
                    <w:rPr>
                      <w:rFonts w:hint="eastAsia" w:ascii="宋体" w:hAnsi="宋体"/>
                      <w:color w:val="000000" w:themeColor="text1"/>
                      <w:sz w:val="21"/>
                      <w:szCs w:val="21"/>
                    </w:rPr>
                    <w:t>部长</w:t>
                  </w:r>
                </w:p>
              </w:tc>
              <w:tc>
                <w:tcPr>
                  <w:tcW w:w="1445" w:type="dxa"/>
                  <w:shd w:val="clear" w:color="auto" w:fill="auto"/>
                  <w:vAlign w:val="center"/>
                </w:tcPr>
                <w:p>
                  <w:pPr>
                    <w:jc w:val="left"/>
                    <w:rPr>
                      <w:rFonts w:hint="eastAsia"/>
                      <w:color w:val="000000" w:themeColor="text1"/>
                      <w:sz w:val="21"/>
                      <w:szCs w:val="21"/>
                    </w:rPr>
                  </w:pPr>
                  <w:r>
                    <w:rPr>
                      <w:rFonts w:hint="eastAsia" w:ascii="宋体" w:hAnsi="宋体"/>
                      <w:color w:val="000000" w:themeColor="text1"/>
                      <w:sz w:val="21"/>
                      <w:szCs w:val="21"/>
                    </w:rPr>
                    <w:t>李国平</w:t>
                  </w: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444" w:type="dxa"/>
                  <w:shd w:val="clear" w:color="auto" w:fill="auto"/>
                  <w:vAlign w:val="center"/>
                </w:tcPr>
                <w:p>
                  <w:pPr>
                    <w:jc w:val="center"/>
                    <w:rPr>
                      <w:rFonts w:hint="eastAsia"/>
                      <w:color w:val="000000" w:themeColor="text1"/>
                      <w:sz w:val="21"/>
                      <w:szCs w:val="21"/>
                    </w:rPr>
                  </w:pPr>
                </w:p>
              </w:tc>
              <w:tc>
                <w:tcPr>
                  <w:tcW w:w="1444" w:type="dxa"/>
                  <w:shd w:val="clear" w:color="auto" w:fill="auto"/>
                  <w:vAlign w:val="center"/>
                </w:tcPr>
                <w:p>
                  <w:pPr>
                    <w:jc w:val="center"/>
                    <w:rPr>
                      <w:rFonts w:hint="eastAsia"/>
                      <w:color w:val="000000" w:themeColor="text1"/>
                      <w:sz w:val="21"/>
                      <w:szCs w:val="21"/>
                    </w:rPr>
                  </w:pPr>
                </w:p>
              </w:tc>
              <w:tc>
                <w:tcPr>
                  <w:tcW w:w="1445" w:type="dxa"/>
                  <w:shd w:val="clear" w:color="auto" w:fill="auto"/>
                  <w:vAlign w:val="center"/>
                </w:tcPr>
                <w:p>
                  <w:pPr>
                    <w:jc w:val="left"/>
                    <w:rPr>
                      <w:rFonts w:hint="eastAsia"/>
                      <w:color w:val="000000" w:themeColor="text1"/>
                      <w:sz w:val="21"/>
                      <w:szCs w:val="21"/>
                    </w:rPr>
                  </w:pPr>
                </w:p>
              </w:tc>
              <w:tc>
                <w:tcPr>
                  <w:tcW w:w="1445" w:type="dxa"/>
                  <w:shd w:val="clear" w:color="auto" w:fill="auto"/>
                  <w:vAlign w:val="center"/>
                </w:tcPr>
                <w:p>
                  <w:pPr>
                    <w:jc w:val="center"/>
                    <w:rPr>
                      <w:rFonts w:hint="eastAsia"/>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778" w:type="dxa"/>
                  <w:gridSpan w:val="4"/>
                  <w:shd w:val="clear" w:color="auto" w:fill="auto"/>
                </w:tcPr>
                <w:p>
                  <w:pPr>
                    <w:jc w:val="left"/>
                    <w:rPr>
                      <w:rFonts w:hint="eastAsia"/>
                      <w:color w:val="000000" w:themeColor="text1"/>
                      <w:sz w:val="21"/>
                      <w:szCs w:val="21"/>
                    </w:rPr>
                  </w:pPr>
                  <w:r>
                    <w:rPr>
                      <w:rFonts w:hint="eastAsia"/>
                      <w:color w:val="000000" w:themeColor="text1"/>
                      <w:sz w:val="21"/>
                      <w:szCs w:val="21"/>
                    </w:rPr>
                    <w:t xml:space="preserve">说明：1.管理评审会议原则上各部门负责人参加，原部门负责人或有事不能参加就委找人参加，并在“备注”兰上说明； </w:t>
                  </w:r>
                </w:p>
                <w:p>
                  <w:pPr>
                    <w:rPr>
                      <w:rFonts w:hint="eastAsia"/>
                      <w:color w:val="000000" w:themeColor="text1"/>
                      <w:sz w:val="21"/>
                      <w:szCs w:val="21"/>
                    </w:rPr>
                  </w:pPr>
                  <w:r>
                    <w:rPr>
                      <w:rFonts w:hint="eastAsia"/>
                      <w:color w:val="000000" w:themeColor="text1"/>
                      <w:sz w:val="21"/>
                      <w:szCs w:val="21"/>
                    </w:rPr>
                    <w:t>2.原则上参会人员亲笔签到。</w:t>
                  </w:r>
                </w:p>
              </w:tc>
            </w:tr>
          </w:tbl>
          <w:p>
            <w:pPr>
              <w:pStyle w:val="2"/>
              <w:jc w:val="center"/>
              <w:rPr>
                <w:rFonts w:hint="eastAsia"/>
                <w:color w:val="000000" w:themeColor="text1"/>
                <w:lang w:val="en-US" w:eastAsia="zh-CN"/>
              </w:rPr>
            </w:pPr>
          </w:p>
          <w:p>
            <w:pPr>
              <w:ind w:firstLine="400" w:firstLineChars="200"/>
              <w:rPr>
                <w:rFonts w:hint="eastAsia"/>
                <w:color w:val="000000" w:themeColor="text1"/>
                <w:sz w:val="20"/>
                <w:lang w:val="en-US" w:eastAsia="zh-CN"/>
              </w:rPr>
            </w:pPr>
            <w:r>
              <w:rPr>
                <w:rFonts w:hint="eastAsia"/>
                <w:color w:val="000000" w:themeColor="text1"/>
                <w:sz w:val="20"/>
                <w:lang w:val="en-US" w:eastAsia="zh-CN"/>
              </w:rPr>
              <w:t>出示“管理评审会议记录”，查评审输入内容包括：</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会议纪要:</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1、方针贯彻执行情况，内部审核报告、纠正/预防措施情况、目标实现程度、QES管理体系运行情况等。</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2、体系建立和运行情况、人员招聘、培训及考核情况，人力资源发展规划情况，公司人力资源现状及未来几年对人力资源的需求。</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3、能源评审、环境因素和危险源的识别、评价及运行控制情况，环境/职业健康安全/节能日常检查情况，生产现场的环境安全能源绩效状况，应急预案的演练情况等。</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4、有关合规义务的识别、收集、执行情况；</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5、招投标情况，市场信息、客户要求及服务情况，顾客满意度、工程项目回访的情况；</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6、物资供应方招标、供应商的选择评价考核情况，对供方施加影响情况等；</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7、产品实现方案、生产计划、质量计划、工艺文件和作业文件等的编制、审批、修改及执行情况，现场技术问题处理情况、产品质量检验情况、计量管理情况，质量总结、设备管理情况以及现场环境安全管理情况。</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8、生产计划进度、产品质量状况、成本控制情况；环保及安全管理；文明安全生产、产品防护状况等；</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9、在环境、职业健康安全、节能管理方面的资金投入计划及落实情况。</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10、纠正预防措施及持续改进情况。</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11、改进建议和变革需求。</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针对需要改进问题会议现场就制定了改进措施计划，明确了负责人和责任部门，限定了完成期限，希望各部门按照改进措施计划的安排尽快安排有关计划。</w:t>
            </w:r>
          </w:p>
          <w:p>
            <w:pPr>
              <w:ind w:firstLine="400" w:firstLineChars="200"/>
              <w:rPr>
                <w:rFonts w:hint="eastAsia"/>
                <w:color w:val="000000" w:themeColor="text1"/>
                <w:sz w:val="20"/>
                <w:lang w:val="en-US" w:eastAsia="zh-CN"/>
              </w:rPr>
            </w:pPr>
            <w:r>
              <w:rPr>
                <w:rFonts w:hint="eastAsia"/>
                <w:color w:val="000000" w:themeColor="text1"/>
                <w:sz w:val="20"/>
                <w:lang w:val="en-US" w:eastAsia="zh-CN"/>
              </w:rPr>
              <w:t>三、评审目的：评价定兴县永巨水泥制品有限公司 QESEn方针的贯彻执行情况以及目标的完成情况；对建立运行的质量环境职业健康安全和能源管理体系的充分性、适宜性以及运行的有效性进行评价，确保管理体系持续有效地满足GB/T 19001-2016、GB/T 24001-2016、GB/T45001-2020、GB/T 23331-2020、RBT 121-2016 能源管理体系 建材企业(不含水泥、玻璃、陶瓷)企业认证要求的标准要求。</w:t>
            </w:r>
          </w:p>
          <w:p>
            <w:pPr>
              <w:ind w:firstLine="400" w:firstLineChars="200"/>
              <w:rPr>
                <w:rFonts w:hint="eastAsia"/>
                <w:color w:val="000000" w:themeColor="text1"/>
                <w:sz w:val="20"/>
                <w:szCs w:val="22"/>
                <w:lang w:val="en-US" w:eastAsia="zh-CN"/>
              </w:rPr>
            </w:pPr>
            <w:r>
              <w:rPr>
                <w:rFonts w:hint="eastAsia"/>
                <w:color w:val="000000" w:themeColor="text1"/>
                <w:sz w:val="20"/>
                <w:szCs w:val="22"/>
                <w:lang w:val="en-US" w:eastAsia="zh-CN"/>
              </w:rPr>
              <w:t>评审组织：主持：总经理，出席：管理者代表、各部门负责人。</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四、评审内容：</w:t>
            </w:r>
          </w:p>
          <w:p>
            <w:pPr>
              <w:ind w:firstLine="400" w:firstLineChars="200"/>
              <w:rPr>
                <w:rFonts w:hint="eastAsia"/>
                <w:color w:val="000000" w:themeColor="text1"/>
                <w:sz w:val="20"/>
                <w:lang w:val="en-US" w:eastAsia="zh-CN"/>
              </w:rPr>
            </w:pPr>
            <w:r>
              <w:rPr>
                <w:rFonts w:hint="eastAsia"/>
                <w:color w:val="000000" w:themeColor="text1"/>
                <w:sz w:val="20"/>
                <w:lang w:val="en-US" w:eastAsia="zh-CN"/>
              </w:rPr>
              <w:t>1、方针贯彻执行情况，内部审核报告、纠正/预防措施情况、目标实现程度、QES管理体系运行情况等。</w:t>
            </w:r>
          </w:p>
          <w:p>
            <w:pPr>
              <w:ind w:firstLine="400" w:firstLineChars="200"/>
              <w:rPr>
                <w:rFonts w:hint="eastAsia"/>
                <w:color w:val="000000" w:themeColor="text1"/>
                <w:sz w:val="20"/>
                <w:lang w:val="en-US" w:eastAsia="zh-CN"/>
              </w:rPr>
            </w:pPr>
            <w:r>
              <w:rPr>
                <w:rFonts w:hint="eastAsia"/>
                <w:color w:val="000000" w:themeColor="text1"/>
                <w:sz w:val="20"/>
                <w:lang w:val="en-US" w:eastAsia="zh-CN"/>
              </w:rPr>
              <w:t>2、体系建立和运行情况、人员招聘、培训及考核情况，人力资源发展规划情况，公司人力资源现状及未来几年对人力资源的需求。</w:t>
            </w:r>
          </w:p>
          <w:p>
            <w:pPr>
              <w:ind w:firstLine="400" w:firstLineChars="200"/>
              <w:rPr>
                <w:rFonts w:hint="eastAsia"/>
                <w:color w:val="000000" w:themeColor="text1"/>
                <w:sz w:val="20"/>
                <w:lang w:val="en-US" w:eastAsia="zh-CN"/>
              </w:rPr>
            </w:pPr>
            <w:r>
              <w:rPr>
                <w:rFonts w:hint="eastAsia"/>
                <w:color w:val="000000" w:themeColor="text1"/>
                <w:sz w:val="20"/>
                <w:lang w:val="en-US" w:eastAsia="zh-CN"/>
              </w:rPr>
              <w:t>3、环境因素和危险源的识别、评价及运行控制情况，环境/职业健康安全日常检查情况，生产现场的环境安全绩效状况，应急预案的演练情况等。</w:t>
            </w:r>
          </w:p>
          <w:p>
            <w:pPr>
              <w:ind w:firstLine="400" w:firstLineChars="200"/>
              <w:rPr>
                <w:rFonts w:hint="eastAsia"/>
                <w:color w:val="000000" w:themeColor="text1"/>
                <w:sz w:val="20"/>
                <w:lang w:val="en-US" w:eastAsia="zh-CN"/>
              </w:rPr>
            </w:pPr>
            <w:r>
              <w:rPr>
                <w:rFonts w:hint="eastAsia"/>
                <w:color w:val="000000" w:themeColor="text1"/>
                <w:sz w:val="20"/>
                <w:lang w:val="en-US" w:eastAsia="zh-CN"/>
              </w:rPr>
              <w:t>4、有关合规义务的识别、收集、执行情况；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5、招投标情况，市场信息、客户要求及服务情况，顾客满意度、工程项目回访的情况；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6、物资供应方招标、供应商的选择评价考核情况，对供方施加影响情况等；</w:t>
            </w:r>
          </w:p>
          <w:p>
            <w:pPr>
              <w:ind w:firstLine="400" w:firstLineChars="200"/>
              <w:rPr>
                <w:rFonts w:hint="eastAsia"/>
                <w:color w:val="000000" w:themeColor="text1"/>
                <w:sz w:val="20"/>
                <w:lang w:val="en-US" w:eastAsia="zh-CN"/>
              </w:rPr>
            </w:pPr>
            <w:r>
              <w:rPr>
                <w:rFonts w:hint="eastAsia"/>
                <w:color w:val="000000" w:themeColor="text1"/>
                <w:sz w:val="20"/>
                <w:lang w:val="en-US" w:eastAsia="zh-CN"/>
              </w:rPr>
              <w:t>7、产品实现方案、生产计划、质量计划、工艺文件和作业文件等的编制、审批、修改及执行情况，现场技术问题处理情况、产品质量检验情况、计量管理情况，质量总结、设备管理情况以及现场环境安全节能管理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8、生产计划进度、产品质量状况、成本控制情况；环保及安全管理；文明安全生产、产品防护状况等；</w:t>
            </w:r>
          </w:p>
          <w:p>
            <w:pPr>
              <w:ind w:firstLine="400" w:firstLineChars="200"/>
              <w:rPr>
                <w:rFonts w:hint="eastAsia"/>
                <w:color w:val="000000" w:themeColor="text1"/>
                <w:sz w:val="20"/>
                <w:lang w:val="en-US" w:eastAsia="zh-CN"/>
              </w:rPr>
            </w:pPr>
            <w:r>
              <w:rPr>
                <w:rFonts w:hint="eastAsia"/>
                <w:color w:val="000000" w:themeColor="text1"/>
                <w:sz w:val="20"/>
                <w:lang w:val="en-US" w:eastAsia="zh-CN"/>
              </w:rPr>
              <w:t>9、在环境、职业健康安全、能源管理方面的资金投入计划及落实情况。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10、纠正预防措施及持续改进情况。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11、体系可能需要的变更；</w:t>
            </w:r>
          </w:p>
          <w:p>
            <w:pPr>
              <w:ind w:firstLine="400" w:firstLineChars="200"/>
              <w:rPr>
                <w:rFonts w:hint="eastAsia"/>
                <w:color w:val="000000" w:themeColor="text1"/>
                <w:sz w:val="20"/>
                <w:lang w:val="en-US" w:eastAsia="zh-CN"/>
              </w:rPr>
            </w:pPr>
            <w:r>
              <w:rPr>
                <w:rFonts w:hint="eastAsia"/>
                <w:color w:val="000000" w:themeColor="text1"/>
                <w:sz w:val="20"/>
                <w:lang w:val="en-US" w:eastAsia="zh-CN"/>
              </w:rPr>
              <w:t xml:space="preserve">改进建议和变革需求。 </w:t>
            </w:r>
          </w:p>
          <w:p>
            <w:pPr>
              <w:ind w:firstLine="400" w:firstLineChars="200"/>
              <w:rPr>
                <w:rFonts w:hint="eastAsia"/>
                <w:color w:val="000000" w:themeColor="text1"/>
                <w:sz w:val="20"/>
                <w:lang w:val="en-US" w:eastAsia="zh-CN"/>
              </w:rPr>
            </w:pPr>
            <w:r>
              <w:rPr>
                <w:rFonts w:hint="eastAsia"/>
                <w:color w:val="000000" w:themeColor="text1"/>
                <w:sz w:val="20"/>
                <w:lang w:val="en-US" w:eastAsia="zh-CN"/>
              </w:rPr>
              <w:t xml:space="preserve">五、管理评审输出，形成《管理评审报告》编审批齐全 。内容包括：   </w:t>
            </w:r>
          </w:p>
          <w:p>
            <w:pPr>
              <w:ind w:firstLine="400" w:firstLineChars="200"/>
              <w:rPr>
                <w:rFonts w:hint="eastAsia"/>
                <w:color w:val="000000" w:themeColor="text1"/>
                <w:sz w:val="20"/>
                <w:lang w:val="en-US" w:eastAsia="zh-CN"/>
              </w:rPr>
            </w:pPr>
            <w:r>
              <w:rPr>
                <w:rFonts w:hint="eastAsia"/>
                <w:color w:val="000000" w:themeColor="text1"/>
                <w:sz w:val="20"/>
                <w:lang w:val="en-US" w:eastAsia="zh-CN"/>
              </w:rPr>
              <w:t>管理评审总体结论：</w:t>
            </w:r>
          </w:p>
          <w:p>
            <w:pPr>
              <w:ind w:firstLine="400" w:firstLineChars="200"/>
              <w:rPr>
                <w:rFonts w:hint="eastAsia"/>
                <w:color w:val="000000" w:themeColor="text1"/>
                <w:sz w:val="20"/>
                <w:lang w:val="en-US" w:eastAsia="zh-CN"/>
              </w:rPr>
            </w:pPr>
            <w:r>
              <w:rPr>
                <w:rFonts w:hint="eastAsia"/>
                <w:color w:val="000000" w:themeColor="text1"/>
                <w:sz w:val="20"/>
                <w:lang w:val="en-US" w:eastAsia="zh-CN"/>
              </w:rPr>
              <w:t>（1）公司目前的管理方针、管理目标和组织机构基本适宜；</w:t>
            </w:r>
          </w:p>
          <w:p>
            <w:pPr>
              <w:ind w:firstLine="400" w:firstLineChars="200"/>
              <w:rPr>
                <w:rFonts w:hint="eastAsia"/>
                <w:color w:val="000000" w:themeColor="text1"/>
                <w:sz w:val="20"/>
                <w:lang w:val="en-US" w:eastAsia="zh-CN"/>
              </w:rPr>
            </w:pPr>
            <w:r>
              <w:rPr>
                <w:rFonts w:hint="eastAsia"/>
                <w:color w:val="000000" w:themeColor="text1"/>
                <w:sz w:val="20"/>
                <w:lang w:val="en-US" w:eastAsia="zh-CN"/>
              </w:rPr>
              <w:t>（2）公司的资源基本充分；</w:t>
            </w:r>
          </w:p>
          <w:p>
            <w:pPr>
              <w:ind w:firstLine="400" w:firstLineChars="200"/>
              <w:rPr>
                <w:rFonts w:hint="eastAsia"/>
                <w:color w:val="000000" w:themeColor="text1"/>
                <w:sz w:val="20"/>
                <w:lang w:val="en-US" w:eastAsia="zh-CN"/>
              </w:rPr>
            </w:pPr>
            <w:r>
              <w:rPr>
                <w:rFonts w:hint="eastAsia"/>
                <w:color w:val="000000" w:themeColor="text1"/>
                <w:sz w:val="20"/>
                <w:lang w:val="en-US" w:eastAsia="zh-CN"/>
              </w:rPr>
              <w:t>（3）公司的工程质量良好并得到持续改进，人力资源的素质有明显提升；</w:t>
            </w:r>
          </w:p>
          <w:p>
            <w:pPr>
              <w:ind w:firstLine="400" w:firstLineChars="200"/>
              <w:rPr>
                <w:rFonts w:hint="eastAsia"/>
                <w:color w:val="000000" w:themeColor="text1"/>
                <w:sz w:val="20"/>
                <w:lang w:val="en-US" w:eastAsia="zh-CN"/>
              </w:rPr>
            </w:pPr>
            <w:r>
              <w:rPr>
                <w:rFonts w:hint="eastAsia"/>
                <w:color w:val="000000" w:themeColor="text1"/>
                <w:sz w:val="20"/>
                <w:lang w:val="en-US" w:eastAsia="zh-CN"/>
              </w:rPr>
              <w:t>（4）公司的质量环境职业健康安全和能源管理体系充分、适宜，运行有效。</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六、纠正措施和预防措施的实施情况</w:t>
            </w:r>
          </w:p>
          <w:p>
            <w:pPr>
              <w:ind w:firstLine="400" w:firstLineChars="200"/>
              <w:rPr>
                <w:rFonts w:hint="eastAsia"/>
                <w:color w:val="000000" w:themeColor="text1"/>
                <w:sz w:val="20"/>
                <w:lang w:val="en-US" w:eastAsia="zh-CN"/>
              </w:rPr>
            </w:pPr>
            <w:r>
              <w:rPr>
                <w:rFonts w:hint="eastAsia"/>
                <w:color w:val="000000" w:themeColor="text1"/>
                <w:sz w:val="20"/>
                <w:lang w:val="en-US" w:eastAsia="zh-CN"/>
              </w:rPr>
              <w:t>公司在贯彻标准和建立QESEn管理体系相关文件、制度中，各部门基本上能够按照文件的要求开展活动，多次组织了人员培训，对文件中的规定和标准中的新要求进行学习，向各个层次的人员进行宣贯、落实，使得管理从一开始就进入良性循环；其他部门也是一样，从不懂标准、不清楚如何使用质量文件，到逐步认识、提高并开始执行；在体系运行过程中，对于客户的意见或发生的一些问题，积极分析原因、开展了一些改进措施并且效果良好；从目前总体情况看，目前公司建立的管理体系是适宜的、充分的，运行是有效的。</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持续改进</w:t>
            </w:r>
          </w:p>
        </w:tc>
        <w:tc>
          <w:tcPr>
            <w:tcW w:w="960" w:type="dxa"/>
          </w:tcPr>
          <w:p>
            <w:pPr>
              <w:rPr>
                <w:rFonts w:hint="eastAsia" w:ascii="宋体" w:hAnsi="宋体" w:eastAsia="宋体" w:cs="Times New Roman"/>
                <w:color w:val="000000" w:themeColor="text1"/>
                <w:sz w:val="21"/>
                <w:szCs w:val="21"/>
                <w:lang w:val="en-US" w:eastAsia="zh-CN"/>
              </w:rPr>
            </w:pPr>
            <w:r>
              <w:rPr>
                <w:rFonts w:hint="eastAsia" w:ascii="宋体" w:hAnsi="宋体" w:eastAsia="宋体" w:cs="Times New Roman"/>
                <w:color w:val="000000" w:themeColor="text1"/>
                <w:sz w:val="21"/>
                <w:szCs w:val="21"/>
                <w:lang w:val="en-US" w:eastAsia="zh-CN"/>
              </w:rPr>
              <w:t xml:space="preserve">10.2 </w:t>
            </w:r>
          </w:p>
        </w:tc>
        <w:tc>
          <w:tcPr>
            <w:tcW w:w="10376" w:type="dxa"/>
          </w:tcPr>
          <w:p>
            <w:pPr>
              <w:ind w:firstLine="420" w:firstLineChars="200"/>
              <w:rPr>
                <w:rFonts w:hint="eastAsia"/>
                <w:color w:val="000000" w:themeColor="text1"/>
                <w:lang w:val="en-US" w:eastAsia="zh-CN"/>
              </w:rPr>
            </w:pPr>
            <w:r>
              <w:rPr>
                <w:rFonts w:hint="eastAsia"/>
                <w:color w:val="000000" w:themeColor="text1"/>
                <w:lang w:val="en-US" w:eastAsia="zh-CN"/>
              </w:rPr>
              <w:t>根据总经理在管理评审会议提出的需要改进的问题，制定了改进措施及改进措施的实施计划，请有关责任部门严格按改进措施及改进措施的实施计划的要求进行整改，并把整改结果汇总到主管部门，以便监督检查。若无法按时完成的，要提出申请说明。</w:t>
            </w:r>
          </w:p>
          <w:p>
            <w:pPr>
              <w:pStyle w:val="2"/>
              <w:ind w:firstLine="435"/>
              <w:jc w:val="both"/>
              <w:rPr>
                <w:rFonts w:hint="eastAsia" w:eastAsia="宋体" w:cs="Times New Roman"/>
                <w:color w:val="000000" w:themeColor="text1"/>
                <w:kern w:val="2"/>
                <w:sz w:val="21"/>
                <w:szCs w:val="22"/>
                <w:lang w:val="en-US" w:eastAsia="zh-CN" w:bidi="ar-SA"/>
              </w:rPr>
            </w:pPr>
            <w:r>
              <w:rPr>
                <w:rFonts w:hint="eastAsia" w:ascii="Times New Roman" w:hAnsi="Times New Roman" w:eastAsia="宋体" w:cs="Times New Roman"/>
                <w:color w:val="000000" w:themeColor="text1"/>
                <w:kern w:val="2"/>
                <w:sz w:val="21"/>
                <w:szCs w:val="22"/>
                <w:lang w:val="en-US" w:eastAsia="zh-CN" w:bidi="ar-SA"/>
              </w:rPr>
              <w:t xml:space="preserve">改进措施及改进措施的实施计划 </w:t>
            </w:r>
            <w:r>
              <w:rPr>
                <w:rFonts w:hint="eastAsia" w:eastAsia="宋体" w:cs="Times New Roman"/>
                <w:color w:val="000000" w:themeColor="text1"/>
                <w:kern w:val="2"/>
                <w:sz w:val="21"/>
                <w:szCs w:val="22"/>
                <w:lang w:val="en-US" w:eastAsia="zh-CN" w:bidi="ar-SA"/>
              </w:rPr>
              <w:t>：</w:t>
            </w:r>
          </w:p>
          <w:p>
            <w:pPr>
              <w:pStyle w:val="2"/>
              <w:ind w:firstLine="435"/>
              <w:jc w:val="both"/>
              <w:rPr>
                <w:rFonts w:hint="default"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1、需要改进的项目：通过培训提高职工的记录意识和证据意识，加强生产过程记录的可追溯性检查，确保做到所有记录均可做到和追溯；改进措施：由朱如华负责制定详细的培训计划，由朱如华负责组织对记录控制程序等内容进行系统培训；责任人：朱如华；配合部门：综管部、技术部；完成时间：2021年年底；</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2、需要改进的项目：加强本区域之外市场拓展；</w:t>
            </w:r>
            <w:r>
              <w:rPr>
                <w:rFonts w:hint="eastAsia" w:ascii="Times New Roman" w:hAnsi="Times New Roman" w:eastAsia="宋体" w:cs="Times New Roman"/>
                <w:color w:val="000000" w:themeColor="text1"/>
                <w:kern w:val="2"/>
                <w:sz w:val="21"/>
                <w:szCs w:val="22"/>
                <w:lang w:val="en-US" w:eastAsia="zh-CN" w:bidi="ar-SA"/>
              </w:rPr>
              <w:t xml:space="preserve"> </w:t>
            </w:r>
            <w:r>
              <w:rPr>
                <w:rFonts w:hint="eastAsia" w:eastAsia="宋体" w:cs="Times New Roman"/>
                <w:color w:val="000000" w:themeColor="text1"/>
                <w:kern w:val="2"/>
                <w:sz w:val="21"/>
                <w:szCs w:val="22"/>
                <w:lang w:val="en-US" w:eastAsia="zh-CN" w:bidi="ar-SA"/>
              </w:rPr>
              <w:t>改进措施：由邸彦辉对记录填写的符合性进行监督检查。</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明确巩固本地市场、开发外地市场的发展战略；通过提高市场份额来提升企业竞争力。责任人：主管市场的副总；配合部门：销售部；完成时间：2021年年底；</w:t>
            </w:r>
          </w:p>
          <w:p>
            <w:pPr>
              <w:pStyle w:val="2"/>
              <w:ind w:firstLine="435"/>
              <w:jc w:val="both"/>
              <w:rPr>
                <w:rFonts w:hint="eastAsia"/>
                <w:color w:val="000000" w:themeColor="text1"/>
                <w:lang w:val="en-US" w:eastAsia="zh-CN"/>
              </w:rPr>
            </w:pPr>
            <w:r>
              <w:rPr>
                <w:rFonts w:hint="default" w:eastAsia="宋体" w:cs="Times New Roman"/>
                <w:color w:val="000000" w:themeColor="text1"/>
                <w:kern w:val="2"/>
                <w:sz w:val="21"/>
                <w:szCs w:val="22"/>
                <w:lang w:val="en-US" w:eastAsia="zh-CN" w:bidi="ar-SA"/>
              </w:rPr>
              <w:t>编制：  朱如华   2021/9/28               批准：冯振合    2021/9/28</w:t>
            </w:r>
            <w:r>
              <w:rPr>
                <w:rFonts w:hint="eastAsia" w:eastAsia="宋体" w:cs="Times New Roman"/>
                <w:color w:val="000000" w:themeColor="text1"/>
                <w:kern w:val="2"/>
                <w:sz w:val="21"/>
                <w:szCs w:val="22"/>
                <w:lang w:val="en-US" w:eastAsia="zh-CN" w:bidi="ar-SA"/>
              </w:rPr>
              <w:t>。</w:t>
            </w:r>
          </w:p>
        </w:tc>
        <w:tc>
          <w:tcPr>
            <w:tcW w:w="1213" w:type="dxa"/>
          </w:tcPr>
          <w:p>
            <w:pPr>
              <w:rPr>
                <w:rFonts w:hint="eastAsia" w:eastAsia="宋体"/>
                <w:color w:val="000000" w:themeColor="text1"/>
                <w:lang w:val="en-US" w:eastAsia="zh-CN"/>
              </w:rPr>
            </w:pPr>
            <w:r>
              <w:rPr>
                <w:rFonts w:hint="eastAsia"/>
                <w:color w:val="000000" w:themeColor="text1"/>
                <w:lang w:val="en-US" w:eastAsia="zh-CN"/>
              </w:rPr>
              <w:t>y</w:t>
            </w:r>
          </w:p>
        </w:tc>
      </w:tr>
    </w:tbl>
    <w:p>
      <w:pPr>
        <w:pStyle w:val="4"/>
        <w:rPr>
          <w:rFonts w:hint="eastAsia"/>
        </w:rPr>
      </w:pPr>
      <w:r>
        <w:rPr>
          <w:rFonts w:hint="eastAsia"/>
        </w:rPr>
        <w:t>说明：不符合标注N</w:t>
      </w:r>
    </w:p>
    <w:p>
      <w:pPr>
        <w:pStyle w:val="4"/>
        <w:rPr>
          <w:rFonts w:hint="eastAsia"/>
        </w:rPr>
      </w:pPr>
    </w:p>
    <w:p>
      <w:pPr>
        <w:pStyle w:val="4"/>
        <w:rPr>
          <w:rFonts w:hint="eastAsia"/>
        </w:rPr>
      </w:pPr>
    </w:p>
    <w:p>
      <w:pPr>
        <w:pStyle w:val="4"/>
        <w:rPr>
          <w:rFonts w:hint="eastAsia"/>
        </w:rPr>
      </w:pP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sz w:val="24"/>
                <w:szCs w:val="24"/>
                <w:lang w:val="en-US"/>
              </w:rPr>
            </w:pPr>
            <w:r>
              <w:rPr>
                <w:rFonts w:hint="eastAsia"/>
                <w:color w:val="000000" w:themeColor="text1"/>
                <w:sz w:val="24"/>
                <w:szCs w:val="24"/>
              </w:rPr>
              <w:t>受审核部门：定兴县永巨水泥制品有限公司</w:t>
            </w:r>
            <w:r>
              <w:rPr>
                <w:rFonts w:hint="eastAsia"/>
                <w:color w:val="000000" w:themeColor="text1"/>
                <w:sz w:val="24"/>
                <w:szCs w:val="24"/>
                <w:lang w:val="en-US" w:eastAsia="zh-CN"/>
              </w:rPr>
              <w:t xml:space="preserve"> 销售部</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主管领导：</w:t>
            </w:r>
            <w:r>
              <w:rPr>
                <w:rFonts w:hint="eastAsia"/>
                <w:color w:val="000000" w:themeColor="text1"/>
                <w:sz w:val="24"/>
                <w:szCs w:val="24"/>
                <w:lang w:val="en-US" w:eastAsia="zh-CN"/>
              </w:rPr>
              <w:t>李国平</w:t>
            </w:r>
            <w:r>
              <w:rPr>
                <w:rFonts w:hint="eastAsia" w:ascii="Times New Roman" w:hAnsi="Times New Roman" w:cs="Times New Roman"/>
                <w:color w:val="000000" w:themeColor="text1"/>
                <w:szCs w:val="22"/>
                <w:lang w:val="en-US" w:eastAsia="zh-CN"/>
              </w:rPr>
              <w:t xml:space="preserve"> </w:t>
            </w:r>
            <w:r>
              <w:rPr>
                <w:rFonts w:hint="eastAsia" w:ascii="Times New Roman" w:hAnsi="Times New Roman" w:eastAsia="宋体" w:cs="Times New Roman"/>
                <w:color w:val="000000" w:themeColor="text1"/>
                <w:sz w:val="24"/>
                <w:szCs w:val="24"/>
                <w:lang w:val="en-US" w:eastAsia="zh-CN"/>
              </w:rPr>
              <w:t xml:space="preserve">陪同人员： 李旭哲   </w:t>
            </w:r>
          </w:p>
        </w:tc>
        <w:tc>
          <w:tcPr>
            <w:tcW w:w="1585" w:type="dxa"/>
            <w:vMerge w:val="restart"/>
            <w:vAlign w:val="center"/>
          </w:tcPr>
          <w:p>
            <w:pPr>
              <w:jc w:val="cente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rPr>
            </w:pPr>
            <w:r>
              <w:rPr>
                <w:rFonts w:hint="eastAsia"/>
                <w:color w:val="000000" w:themeColor="text1"/>
                <w:sz w:val="24"/>
                <w:szCs w:val="24"/>
              </w:rPr>
              <w:t>审核员：</w:t>
            </w:r>
            <w:bookmarkStart w:id="0" w:name="审核组成员不含组长"/>
            <w:r>
              <w:rPr>
                <w:rFonts w:hint="eastAsia"/>
                <w:color w:val="000000" w:themeColor="text1"/>
                <w:sz w:val="24"/>
                <w:szCs w:val="24"/>
              </w:rPr>
              <w:t>王宁敏</w:t>
            </w:r>
            <w:bookmarkEnd w:id="0"/>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审核时间：</w:t>
            </w:r>
            <w:bookmarkStart w:id="1" w:name="审核日期"/>
            <w:r>
              <w:rPr>
                <w:rFonts w:hint="eastAsia" w:ascii="Times New Roman" w:hAnsi="Times New Roman" w:eastAsia="宋体" w:cs="Times New Roman"/>
                <w:color w:val="000000" w:themeColor="text1"/>
                <w:sz w:val="24"/>
                <w:szCs w:val="24"/>
              </w:rPr>
              <w:t>2021年11月</w:t>
            </w:r>
            <w:r>
              <w:rPr>
                <w:rFonts w:hint="eastAsia" w:cs="Times New Roman"/>
                <w:color w:val="000000" w:themeColor="text1"/>
                <w:sz w:val="24"/>
                <w:szCs w:val="24"/>
                <w:lang w:val="en-US" w:eastAsia="zh-CN"/>
              </w:rPr>
              <w:t>20</w:t>
            </w:r>
            <w:r>
              <w:rPr>
                <w:rFonts w:hint="eastAsia" w:ascii="Times New Roman" w:hAnsi="Times New Roman" w:eastAsia="宋体" w:cs="Times New Roman"/>
                <w:color w:val="000000" w:themeColor="text1"/>
                <w:sz w:val="24"/>
                <w:szCs w:val="24"/>
              </w:rPr>
              <w:t xml:space="preserve">日 </w:t>
            </w:r>
            <w:bookmarkEnd w:id="1"/>
            <w:r>
              <w:rPr>
                <w:rFonts w:hint="eastAsia" w:ascii="Times New Roman" w:hAnsi="Times New Roman" w:eastAsia="宋体" w:cs="Times New Roman"/>
                <w:color w:val="000000" w:themeColor="text1"/>
                <w:sz w:val="24"/>
                <w:szCs w:val="24"/>
              </w:rPr>
              <w:t>8:00-10:00</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000000" w:themeColor="text1"/>
                <w:sz w:val="24"/>
                <w:szCs w:val="24"/>
                <w:lang w:eastAsia="zh-CN"/>
              </w:rPr>
            </w:pPr>
            <w:r>
              <w:rPr>
                <w:rFonts w:hint="eastAsia"/>
                <w:color w:val="000000" w:themeColor="text1"/>
                <w:sz w:val="24"/>
                <w:szCs w:val="24"/>
              </w:rPr>
              <w:t>审核条款：</w:t>
            </w:r>
            <w:r>
              <w:rPr>
                <w:rFonts w:hint="eastAsia" w:ascii="Times New Roman" w:hAnsi="Times New Roman" w:eastAsia="宋体" w:cs="Times New Roman"/>
                <w:color w:val="000000" w:themeColor="text1"/>
                <w:sz w:val="24"/>
                <w:szCs w:val="24"/>
              </w:rPr>
              <w:t>5.3/销售部的岗位、职责和权限；6.2/目标、能源指标及完成情况； 7.4/8.1</w:t>
            </w:r>
            <w:r>
              <w:rPr>
                <w:rFonts w:hint="eastAsia" w:cs="Times New Roman"/>
                <w:color w:val="000000" w:themeColor="text1"/>
                <w:sz w:val="24"/>
                <w:szCs w:val="24"/>
                <w:lang w:val="en-US" w:eastAsia="zh-CN"/>
              </w:rPr>
              <w:t>信息交流/</w:t>
            </w:r>
            <w:r>
              <w:rPr>
                <w:rFonts w:hint="eastAsia" w:ascii="Times New Roman" w:hAnsi="Times New Roman" w:eastAsia="宋体" w:cs="Times New Roman"/>
                <w:color w:val="000000" w:themeColor="text1"/>
                <w:sz w:val="24"/>
                <w:szCs w:val="24"/>
              </w:rPr>
              <w:t>运行控制</w:t>
            </w:r>
            <w:r>
              <w:rPr>
                <w:rFonts w:hint="eastAsia" w:ascii="Times New Roman" w:hAnsi="Times New Roman" w:eastAsia="宋体" w:cs="Times New Roman"/>
                <w:color w:val="000000" w:themeColor="text1"/>
                <w:sz w:val="24"/>
                <w:szCs w:val="24"/>
                <w:lang w:eastAsia="zh-CN"/>
              </w:rPr>
              <w:t>。</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营销部的岗位、职责和权限</w:t>
            </w:r>
          </w:p>
        </w:tc>
        <w:tc>
          <w:tcPr>
            <w:tcW w:w="9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5.3</w:t>
            </w:r>
          </w:p>
        </w:tc>
        <w:tc>
          <w:tcPr>
            <w:tcW w:w="10004" w:type="dxa"/>
            <w:vAlign w:val="top"/>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销售部：主管领导 李国平，共2人，岗位设置：一个业务，一个内勤。</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提供：《主要岗位任职要求</w:t>
            </w:r>
            <w:r>
              <w:rPr>
                <w:rFonts w:hint="eastAsia" w:eastAsia="宋体" w:cs="Times New Roman"/>
                <w:color w:val="000000" w:themeColor="text1"/>
                <w:kern w:val="2"/>
                <w:sz w:val="21"/>
                <w:szCs w:val="22"/>
                <w:lang w:val="en-US" w:eastAsia="zh-CN" w:bidi="ar-SA"/>
              </w:rPr>
              <w:tab/>
            </w:r>
            <w:r>
              <w:rPr>
                <w:rFonts w:hint="eastAsia" w:eastAsia="宋体" w:cs="Times New Roman"/>
                <w:color w:val="000000" w:themeColor="text1"/>
                <w:kern w:val="2"/>
                <w:sz w:val="21"/>
                <w:szCs w:val="22"/>
                <w:lang w:val="en-US" w:eastAsia="zh-CN" w:bidi="ar-SA"/>
              </w:rPr>
              <w:t>YJ-ZD01-2021》、《主要岗位人员职责</w:t>
            </w:r>
            <w:r>
              <w:rPr>
                <w:rFonts w:hint="eastAsia" w:eastAsia="宋体" w:cs="Times New Roman"/>
                <w:color w:val="000000" w:themeColor="text1"/>
                <w:kern w:val="2"/>
                <w:sz w:val="21"/>
                <w:szCs w:val="22"/>
                <w:lang w:val="en-US" w:eastAsia="zh-CN" w:bidi="ar-SA"/>
              </w:rPr>
              <w:tab/>
            </w:r>
            <w:r>
              <w:rPr>
                <w:rFonts w:hint="eastAsia" w:eastAsia="宋体" w:cs="Times New Roman"/>
                <w:color w:val="000000" w:themeColor="text1"/>
                <w:kern w:val="2"/>
                <w:sz w:val="21"/>
                <w:szCs w:val="22"/>
                <w:lang w:val="en-US" w:eastAsia="zh-CN" w:bidi="ar-SA"/>
              </w:rPr>
              <w:t>YJ-ZD02-2021》</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在《主要岗位人员职责》：</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4.6供销部部门负责人的职责；</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4.6.1负责市场调研，收集市场信息；识别顾客的要求，并对销售合同进行评审。</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4.6.2负责与顾客签订合同，并与顾客及时进行沟通，及时处理有关合同的修订事宜。</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4.6.3开展优质服务活动，走访、信访顾客，及时处理顾客的反馈意见和有关</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质量投诉问题。</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4.6.4负责供方的评价和选择工作，对不符合规定要求的产品负责与供方沟通，予以拒收、拒付。</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4.6.6负责仓库物资的管理工作，检查指导仓库管理人员做好仓储工作。</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岗位设置：经理、销售管理、合同管理、客户管理、仓库管理，负责与顾客的开发，合同/订单的评审、变更实施及产品的交付，完成上级领导交办的其他任务。</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目标、能源指标及完成情况</w:t>
            </w:r>
          </w:p>
        </w:tc>
        <w:tc>
          <w:tcPr>
            <w:tcW w:w="9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6.2</w:t>
            </w:r>
          </w:p>
        </w:tc>
        <w:tc>
          <w:tcPr>
            <w:tcW w:w="10004" w:type="dxa"/>
            <w:vAlign w:val="top"/>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提供部门QESEn目标指标：</w:t>
            </w:r>
          </w:p>
          <w:p>
            <w:pPr>
              <w:pStyle w:val="2"/>
              <w:ind w:firstLine="435"/>
              <w:jc w:val="both"/>
              <w:rPr>
                <w:rFonts w:hint="default" w:eastAsia="宋体" w:cs="Times New Roman"/>
                <w:color w:val="000000" w:themeColor="text1"/>
                <w:kern w:val="2"/>
                <w:sz w:val="21"/>
                <w:szCs w:val="22"/>
                <w:lang w:val="en-US" w:eastAsia="zh-CN" w:bidi="ar-SA"/>
              </w:rPr>
            </w:pPr>
            <w:r>
              <w:rPr>
                <w:rFonts w:hint="default" w:eastAsia="宋体" w:cs="Times New Roman"/>
                <w:color w:val="000000" w:themeColor="text1"/>
                <w:kern w:val="2"/>
                <w:sz w:val="21"/>
                <w:szCs w:val="22"/>
                <w:lang w:val="en-US" w:eastAsia="zh-CN" w:bidi="ar-SA"/>
              </w:rPr>
              <w:t xml:space="preserve">合同评审率达到100%； </w:t>
            </w:r>
          </w:p>
          <w:p>
            <w:pPr>
              <w:pStyle w:val="2"/>
              <w:ind w:firstLine="435"/>
              <w:jc w:val="both"/>
              <w:rPr>
                <w:rFonts w:hint="default" w:eastAsia="宋体" w:cs="Times New Roman"/>
                <w:color w:val="000000" w:themeColor="text1"/>
                <w:kern w:val="2"/>
                <w:sz w:val="21"/>
                <w:szCs w:val="22"/>
                <w:lang w:val="en-US" w:eastAsia="zh-CN" w:bidi="ar-SA"/>
              </w:rPr>
            </w:pPr>
            <w:r>
              <w:rPr>
                <w:rFonts w:hint="default" w:eastAsia="宋体" w:cs="Times New Roman"/>
                <w:color w:val="000000" w:themeColor="text1"/>
                <w:kern w:val="2"/>
                <w:sz w:val="21"/>
                <w:szCs w:val="22"/>
                <w:lang w:val="en-US" w:eastAsia="zh-CN" w:bidi="ar-SA"/>
              </w:rPr>
              <w:t>顾客满意率≥90 %；</w:t>
            </w:r>
          </w:p>
          <w:p>
            <w:pPr>
              <w:pStyle w:val="2"/>
              <w:ind w:firstLine="435"/>
              <w:jc w:val="both"/>
              <w:rPr>
                <w:rFonts w:hint="default" w:eastAsia="宋体" w:cs="Times New Roman"/>
                <w:color w:val="000000" w:themeColor="text1"/>
                <w:kern w:val="2"/>
                <w:sz w:val="21"/>
                <w:szCs w:val="22"/>
                <w:lang w:val="en-US" w:eastAsia="zh-CN" w:bidi="ar-SA"/>
              </w:rPr>
            </w:pPr>
            <w:r>
              <w:rPr>
                <w:rFonts w:hint="default" w:eastAsia="宋体" w:cs="Times New Roman"/>
                <w:color w:val="000000" w:themeColor="text1"/>
                <w:kern w:val="2"/>
                <w:sz w:val="21"/>
                <w:szCs w:val="22"/>
                <w:lang w:val="en-US" w:eastAsia="zh-CN" w:bidi="ar-SA"/>
              </w:rPr>
              <w:t>办公固废分类收集率100%；</w:t>
            </w:r>
          </w:p>
          <w:p>
            <w:pPr>
              <w:pStyle w:val="2"/>
              <w:ind w:firstLine="435"/>
              <w:jc w:val="both"/>
              <w:rPr>
                <w:rFonts w:hint="eastAsia" w:eastAsia="宋体" w:cs="Times New Roman"/>
                <w:color w:val="000000" w:themeColor="text1"/>
                <w:kern w:val="2"/>
                <w:sz w:val="21"/>
                <w:szCs w:val="22"/>
                <w:lang w:val="en-US" w:eastAsia="zh-CN" w:bidi="ar-SA"/>
              </w:rPr>
            </w:pPr>
            <w:r>
              <w:rPr>
                <w:rFonts w:hint="default" w:eastAsia="宋体" w:cs="Times New Roman"/>
                <w:color w:val="000000" w:themeColor="text1"/>
                <w:kern w:val="2"/>
                <w:sz w:val="21"/>
                <w:szCs w:val="22"/>
                <w:lang w:val="en-US" w:eastAsia="zh-CN" w:bidi="ar-SA"/>
              </w:rPr>
              <w:t>火灾事故为零；_x0007_</w:t>
            </w:r>
            <w:r>
              <w:rPr>
                <w:rFonts w:hint="eastAsia" w:eastAsia="宋体" w:cs="Times New Roman"/>
                <w:color w:val="000000" w:themeColor="text1"/>
                <w:kern w:val="2"/>
                <w:sz w:val="21"/>
                <w:szCs w:val="22"/>
                <w:lang w:val="en-US" w:eastAsia="zh-CN" w:bidi="ar-SA"/>
              </w:rPr>
              <w:t>提供销售部部能源管理目标</w:t>
            </w:r>
          </w:p>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rPr>
              <w:t>部门能源指标：平日注意节能、节水、节电</w:t>
            </w:r>
          </w:p>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14:textFill>
                  <w14:solidFill>
                    <w14:schemeClr w14:val="tx1"/>
                  </w14:solidFill>
                </w14:textFill>
              </w:rPr>
              <w:t>查阅</w:t>
            </w:r>
            <w:r>
              <w:rPr>
                <w:rFonts w:hint="eastAsia" w:eastAsia="宋体" w:cs="Times New Roman"/>
                <w:color w:val="000000" w:themeColor="text1"/>
                <w:kern w:val="2"/>
                <w:sz w:val="21"/>
                <w:szCs w:val="22"/>
                <w:lang w:val="en-US" w:eastAsia="zh-CN" w:bidi="ar-SA"/>
              </w:rPr>
              <w:t>2020年度以及2021年1-10月目标分解及统计方法记录，销售部基本完成目标指标，产品销售管理全部完成。</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信息交流/运行控制</w:t>
            </w:r>
          </w:p>
        </w:tc>
        <w:tc>
          <w:tcPr>
            <w:tcW w:w="960" w:type="dxa"/>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7.4/8.1 </w:t>
            </w:r>
          </w:p>
        </w:tc>
        <w:tc>
          <w:tcPr>
            <w:tcW w:w="10004" w:type="dxa"/>
            <w:vAlign w:val="top"/>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1、提供制度清单：《与顾客有关过程控制程序》、《顾客满意度测量控制程序》、《能源资源管理制度YJ-ZD19-2021》、《销售部管理制度》含：工程信息收集、初步接洽、投标、合同签订、销售过程管理、客户维护等。</w:t>
            </w:r>
          </w:p>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2、提供近几月销售合同（不含能源销售）：《合同管理台账》</w:t>
            </w:r>
          </w:p>
          <w:tbl>
            <w:tblPr>
              <w:tblStyle w:val="7"/>
              <w:tblpPr/>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218"/>
              <w:gridCol w:w="2014"/>
              <w:gridCol w:w="939"/>
              <w:gridCol w:w="1128"/>
              <w:gridCol w:w="930"/>
              <w:gridCol w:w="870"/>
              <w:gridCol w:w="1776"/>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436" w:type="dxa"/>
                  <w:shd w:val="clear" w:color="auto" w:fill="auto"/>
                  <w:noWrap w:val="0"/>
                  <w:vAlign w:val="center"/>
                </w:tcPr>
                <w:p>
                  <w:pPr>
                    <w:pStyle w:val="2"/>
                    <w:jc w:val="both"/>
                    <w:rPr>
                      <w:rFonts w:hint="default"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序号</w:t>
                  </w:r>
                </w:p>
              </w:tc>
              <w:tc>
                <w:tcPr>
                  <w:tcW w:w="121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合同编号</w:t>
                  </w:r>
                </w:p>
              </w:tc>
              <w:tc>
                <w:tcPr>
                  <w:tcW w:w="2014"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客户名称 </w:t>
                  </w:r>
                </w:p>
              </w:tc>
              <w:tc>
                <w:tcPr>
                  <w:tcW w:w="939"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产品名称 </w:t>
                  </w:r>
                </w:p>
              </w:tc>
              <w:tc>
                <w:tcPr>
                  <w:tcW w:w="112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合同签订日期 </w:t>
                  </w:r>
                </w:p>
              </w:tc>
              <w:tc>
                <w:tcPr>
                  <w:tcW w:w="930"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客户联系人</w:t>
                  </w:r>
                </w:p>
              </w:tc>
              <w:tc>
                <w:tcPr>
                  <w:tcW w:w="870"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联系电话</w:t>
                  </w:r>
                </w:p>
              </w:tc>
              <w:tc>
                <w:tcPr>
                  <w:tcW w:w="177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客户地址</w:t>
                  </w:r>
                </w:p>
              </w:tc>
              <w:tc>
                <w:tcPr>
                  <w:tcW w:w="50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43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11</w:t>
                  </w:r>
                </w:p>
              </w:tc>
              <w:tc>
                <w:tcPr>
                  <w:tcW w:w="121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YJHT0001</w:t>
                  </w:r>
                </w:p>
              </w:tc>
              <w:tc>
                <w:tcPr>
                  <w:tcW w:w="2014"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定兴县肖村乡六里屯村民委员会</w:t>
                  </w:r>
                </w:p>
              </w:tc>
              <w:tc>
                <w:tcPr>
                  <w:tcW w:w="939"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预拌混凝土</w:t>
                  </w:r>
                </w:p>
              </w:tc>
              <w:tc>
                <w:tcPr>
                  <w:tcW w:w="112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2021/4/23</w:t>
                  </w:r>
                </w:p>
              </w:tc>
              <w:tc>
                <w:tcPr>
                  <w:tcW w:w="930"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张雨</w:t>
                  </w:r>
                </w:p>
              </w:tc>
              <w:tc>
                <w:tcPr>
                  <w:tcW w:w="870"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 </w:t>
                  </w:r>
                </w:p>
              </w:tc>
              <w:tc>
                <w:tcPr>
                  <w:tcW w:w="1776"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定兴县肖村乡六里屯村民委员会</w:t>
                  </w:r>
                </w:p>
              </w:tc>
              <w:tc>
                <w:tcPr>
                  <w:tcW w:w="50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exact"/>
                <w:jc w:val="center"/>
              </w:trPr>
              <w:tc>
                <w:tcPr>
                  <w:tcW w:w="43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22</w:t>
                  </w:r>
                </w:p>
              </w:tc>
              <w:tc>
                <w:tcPr>
                  <w:tcW w:w="121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YJHT0002</w:t>
                  </w:r>
                </w:p>
              </w:tc>
              <w:tc>
                <w:tcPr>
                  <w:tcW w:w="2014"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河北筑源商品混凝土有限公司</w:t>
                  </w:r>
                </w:p>
              </w:tc>
              <w:tc>
                <w:tcPr>
                  <w:tcW w:w="939"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预拌混凝土</w:t>
                  </w:r>
                </w:p>
              </w:tc>
              <w:tc>
                <w:tcPr>
                  <w:tcW w:w="112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2021/7/6</w:t>
                  </w:r>
                </w:p>
              </w:tc>
              <w:tc>
                <w:tcPr>
                  <w:tcW w:w="930"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杨智勇</w:t>
                  </w:r>
                </w:p>
              </w:tc>
              <w:tc>
                <w:tcPr>
                  <w:tcW w:w="870"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 </w:t>
                  </w:r>
                </w:p>
              </w:tc>
              <w:tc>
                <w:tcPr>
                  <w:tcW w:w="1776"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河北省保定市徐水区安肃镇南张丰村</w:t>
                  </w:r>
                </w:p>
              </w:tc>
              <w:tc>
                <w:tcPr>
                  <w:tcW w:w="50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43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33</w:t>
                  </w:r>
                </w:p>
              </w:tc>
              <w:tc>
                <w:tcPr>
                  <w:tcW w:w="121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YJHT0003</w:t>
                  </w:r>
                </w:p>
              </w:tc>
              <w:tc>
                <w:tcPr>
                  <w:tcW w:w="2014"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戎马车队王爽</w:t>
                  </w:r>
                </w:p>
              </w:tc>
              <w:tc>
                <w:tcPr>
                  <w:tcW w:w="939"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预拌混凝土</w:t>
                  </w:r>
                </w:p>
              </w:tc>
              <w:tc>
                <w:tcPr>
                  <w:tcW w:w="1128"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2021/7/30</w:t>
                  </w:r>
                </w:p>
              </w:tc>
              <w:tc>
                <w:tcPr>
                  <w:tcW w:w="930"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王爽</w:t>
                  </w:r>
                </w:p>
              </w:tc>
              <w:tc>
                <w:tcPr>
                  <w:tcW w:w="870"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 </w:t>
                  </w:r>
                </w:p>
              </w:tc>
              <w:tc>
                <w:tcPr>
                  <w:tcW w:w="1776" w:type="dxa"/>
                  <w:shd w:val="clear" w:color="auto" w:fill="auto"/>
                  <w:noWrap w:val="0"/>
                  <w:vAlign w:val="center"/>
                </w:tcPr>
                <w:p>
                  <w:pPr>
                    <w:pStyle w:val="2"/>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定兴县固城镇</w:t>
                  </w:r>
                </w:p>
              </w:tc>
              <w:tc>
                <w:tcPr>
                  <w:tcW w:w="506" w:type="dxa"/>
                  <w:shd w:val="clear" w:color="auto" w:fill="auto"/>
                  <w:noWrap w:val="0"/>
                  <w:vAlign w:val="center"/>
                </w:tcPr>
                <w:p>
                  <w:pPr>
                    <w:pStyle w:val="2"/>
                    <w:ind w:firstLine="435"/>
                    <w:jc w:val="both"/>
                    <w:rPr>
                      <w:rFonts w:hint="eastAsia" w:eastAsia="宋体" w:cs="Times New Roman"/>
                      <w:color w:val="000000" w:themeColor="text1"/>
                      <w:kern w:val="2"/>
                      <w:sz w:val="21"/>
                      <w:szCs w:val="22"/>
                      <w:lang w:val="en-US" w:eastAsia="zh-CN" w:bidi="ar-SA"/>
                    </w:rPr>
                  </w:pPr>
                </w:p>
              </w:tc>
            </w:tr>
          </w:tbl>
          <w:p>
            <w:pPr>
              <w:pStyle w:val="2"/>
              <w:ind w:firstLine="435"/>
              <w:jc w:val="both"/>
              <w:rPr>
                <w:rFonts w:hint="eastAsia"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 xml:space="preserve">编制：李国平                           批准：冯振合       日期： 2021/7/31    </w:t>
            </w:r>
          </w:p>
          <w:p>
            <w:pPr>
              <w:pStyle w:val="2"/>
              <w:ind w:firstLine="435"/>
              <w:jc w:val="both"/>
              <w:rPr>
                <w:rFonts w:hint="default" w:eastAsia="宋体" w:cs="Times New Roman"/>
                <w:color w:val="000000" w:themeColor="text1"/>
                <w:kern w:val="2"/>
                <w:sz w:val="21"/>
                <w:szCs w:val="22"/>
                <w:lang w:val="en-US" w:eastAsia="zh-CN" w:bidi="ar-SA"/>
              </w:rPr>
            </w:pPr>
            <w:r>
              <w:rPr>
                <w:rFonts w:hint="eastAsia" w:eastAsia="宋体" w:cs="Times New Roman"/>
                <w:color w:val="000000" w:themeColor="text1"/>
                <w:kern w:val="2"/>
                <w:sz w:val="21"/>
                <w:szCs w:val="22"/>
                <w:lang w:val="en-US" w:eastAsia="zh-CN" w:bidi="ar-SA"/>
              </w:rPr>
              <w:t>3、信息交流采用的是网络、电话、微信、文件、会议等形式。没有发生违规情况。</w:t>
            </w:r>
          </w:p>
          <w:p>
            <w:pPr>
              <w:pStyle w:val="2"/>
              <w:ind w:firstLine="435"/>
              <w:jc w:val="both"/>
              <w:rPr>
                <w:rFonts w:hint="default" w:eastAsia="宋体" w:cs="Times New Roman"/>
                <w:color w:val="000000" w:themeColor="text1"/>
                <w:kern w:val="2"/>
                <w:sz w:val="21"/>
                <w:szCs w:val="22"/>
                <w:lang w:val="en-US" w:eastAsia="zh-CN" w:bidi="ar-SA"/>
              </w:rPr>
            </w:pPr>
          </w:p>
        </w:tc>
        <w:tc>
          <w:tcPr>
            <w:tcW w:w="1585" w:type="dxa"/>
          </w:tcPr>
          <w:p>
            <w:pPr>
              <w:rPr>
                <w:color w:val="000000" w:themeColor="text1"/>
              </w:rPr>
            </w:pPr>
          </w:p>
        </w:tc>
      </w:tr>
    </w:tbl>
    <w:p>
      <w:pPr>
        <w:pStyle w:val="4"/>
      </w:pPr>
      <w:r>
        <w:rPr>
          <w:rFonts w:hint="eastAsia"/>
        </w:rPr>
        <w:t>说明：不符合标注N</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12"/>
        <w:gridCol w:w="1102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9"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color w:val="000000" w:themeColor="text1"/>
                <w:sz w:val="24"/>
                <w:szCs w:val="24"/>
              </w:rPr>
            </w:pPr>
            <w:r>
              <w:rPr>
                <w:rFonts w:hint="eastAsia"/>
                <w:color w:val="000000" w:themeColor="text1"/>
                <w:sz w:val="24"/>
                <w:szCs w:val="24"/>
              </w:rPr>
              <w:t>过程与活动、</w:t>
            </w:r>
          </w:p>
          <w:p>
            <w:pPr>
              <w:keepNext w:val="0"/>
              <w:keepLines w:val="0"/>
              <w:pageBreakBefore w:val="0"/>
              <w:widowControl w:val="0"/>
              <w:kinsoku/>
              <w:wordWrap/>
              <w:overflowPunct/>
              <w:topLinePunct w:val="0"/>
              <w:autoSpaceDE/>
              <w:autoSpaceDN/>
              <w:bidi w:val="0"/>
              <w:adjustRightInd/>
              <w:snapToGrid/>
              <w:spacing w:after="0"/>
              <w:jc w:val="center"/>
              <w:textAlignment w:val="auto"/>
              <w:rPr>
                <w:color w:val="000000" w:themeColor="text1"/>
              </w:rPr>
            </w:pPr>
            <w:r>
              <w:rPr>
                <w:rFonts w:hint="eastAsia"/>
                <w:color w:val="000000" w:themeColor="text1"/>
                <w:sz w:val="24"/>
                <w:szCs w:val="24"/>
              </w:rPr>
              <w:t>抽样计划</w:t>
            </w:r>
          </w:p>
        </w:tc>
        <w:tc>
          <w:tcPr>
            <w:tcW w:w="1012"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color w:val="000000" w:themeColor="text1"/>
                <w:sz w:val="24"/>
                <w:szCs w:val="24"/>
              </w:rPr>
            </w:pPr>
            <w:r>
              <w:rPr>
                <w:rFonts w:hint="eastAsia"/>
                <w:color w:val="000000" w:themeColor="text1"/>
                <w:sz w:val="24"/>
                <w:szCs w:val="24"/>
              </w:rPr>
              <w:t>涉及</w:t>
            </w:r>
          </w:p>
          <w:p>
            <w:pPr>
              <w:keepNext w:val="0"/>
              <w:keepLines w:val="0"/>
              <w:pageBreakBefore w:val="0"/>
              <w:widowControl w:val="0"/>
              <w:kinsoku/>
              <w:wordWrap/>
              <w:overflowPunct/>
              <w:topLinePunct w:val="0"/>
              <w:autoSpaceDE/>
              <w:autoSpaceDN/>
              <w:bidi w:val="0"/>
              <w:adjustRightInd/>
              <w:snapToGrid/>
              <w:spacing w:after="0"/>
              <w:jc w:val="center"/>
              <w:textAlignment w:val="auto"/>
              <w:rPr>
                <w:color w:val="000000" w:themeColor="text1"/>
              </w:rPr>
            </w:pPr>
            <w:r>
              <w:rPr>
                <w:rFonts w:hint="eastAsia"/>
                <w:color w:val="000000" w:themeColor="text1"/>
                <w:sz w:val="24"/>
                <w:szCs w:val="24"/>
              </w:rPr>
              <w:t>条款</w:t>
            </w: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color w:val="000000" w:themeColor="text1"/>
                <w:sz w:val="24"/>
                <w:szCs w:val="24"/>
                <w:lang w:val="en-US" w:eastAsia="zh-CN"/>
              </w:rPr>
            </w:pPr>
            <w:r>
              <w:rPr>
                <w:rFonts w:hint="eastAsia"/>
                <w:color w:val="000000" w:themeColor="text1"/>
                <w:sz w:val="24"/>
                <w:szCs w:val="24"/>
              </w:rPr>
              <w:t>受审核部门：定兴县永巨水泥制品有限公司</w:t>
            </w:r>
            <w:r>
              <w:rPr>
                <w:rFonts w:hint="eastAsia"/>
                <w:color w:val="000000" w:themeColor="text1"/>
                <w:sz w:val="24"/>
                <w:szCs w:val="24"/>
                <w:lang w:val="en-US" w:eastAsia="zh-CN"/>
              </w:rPr>
              <w:t xml:space="preserve"> 财务部</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主管领导：</w:t>
            </w:r>
            <w:r>
              <w:rPr>
                <w:rFonts w:hint="eastAsia"/>
                <w:color w:val="000000" w:themeColor="text1"/>
                <w:sz w:val="24"/>
                <w:szCs w:val="24"/>
                <w:lang w:val="en-US" w:eastAsia="zh-CN"/>
              </w:rPr>
              <w:t xml:space="preserve"> 李垚</w:t>
            </w:r>
            <w:r>
              <w:rPr>
                <w:color w:val="000000" w:themeColor="text1"/>
                <w:sz w:val="24"/>
                <w:szCs w:val="24"/>
              </w:rPr>
              <w:t xml:space="preserve"> </w:t>
            </w:r>
            <w:r>
              <w:rPr>
                <w:rFonts w:hint="eastAsia"/>
                <w:color w:val="000000" w:themeColor="text1"/>
                <w:sz w:val="24"/>
                <w:szCs w:val="24"/>
                <w:lang w:val="en-US" w:eastAsia="zh-CN"/>
              </w:rPr>
              <w:t xml:space="preserve"> 陪同人员： 李旭哲 </w:t>
            </w:r>
          </w:p>
        </w:tc>
        <w:tc>
          <w:tcPr>
            <w:tcW w:w="1347" w:type="dxa"/>
            <w:vMerge w:val="restart"/>
            <w:vAlign w:val="center"/>
          </w:tcPr>
          <w:p>
            <w:pPr>
              <w:jc w:val="cente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49" w:type="dxa"/>
            <w:vMerge w:val="continue"/>
            <w:vAlign w:val="center"/>
          </w:tcPr>
          <w:p>
            <w:pPr>
              <w:rPr>
                <w:color w:val="000000" w:themeColor="text1"/>
              </w:rPr>
            </w:pPr>
          </w:p>
        </w:tc>
        <w:tc>
          <w:tcPr>
            <w:tcW w:w="1012" w:type="dxa"/>
            <w:vMerge w:val="continue"/>
            <w:vAlign w:val="center"/>
          </w:tcPr>
          <w:p>
            <w:pPr>
              <w:rPr>
                <w:color w:val="000000" w:themeColor="text1"/>
              </w:rPr>
            </w:p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rPr>
            </w:pPr>
            <w:r>
              <w:rPr>
                <w:rFonts w:hint="eastAsia"/>
                <w:color w:val="000000" w:themeColor="text1"/>
                <w:sz w:val="24"/>
                <w:szCs w:val="24"/>
              </w:rPr>
              <w:t xml:space="preserve">审核员：王宁敏 </w:t>
            </w:r>
            <w:r>
              <w:rPr>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lang w:val="en-US" w:eastAsia="zh-CN"/>
              </w:rPr>
              <w:t xml:space="preserve">         </w:t>
            </w:r>
            <w:r>
              <w:rPr>
                <w:rFonts w:hint="eastAsia"/>
                <w:color w:val="000000" w:themeColor="text1"/>
                <w:sz w:val="24"/>
                <w:szCs w:val="24"/>
              </w:rPr>
              <w:t>审核时间：2021年11月</w:t>
            </w:r>
            <w:r>
              <w:rPr>
                <w:rFonts w:hint="eastAsia"/>
                <w:color w:val="000000" w:themeColor="text1"/>
                <w:sz w:val="24"/>
                <w:szCs w:val="24"/>
                <w:lang w:val="en-US" w:eastAsia="zh-CN"/>
              </w:rPr>
              <w:t>20</w:t>
            </w:r>
            <w:r>
              <w:rPr>
                <w:rFonts w:hint="eastAsia"/>
                <w:color w:val="000000" w:themeColor="text1"/>
                <w:sz w:val="24"/>
                <w:szCs w:val="24"/>
              </w:rPr>
              <w:t xml:space="preserve">日 </w:t>
            </w:r>
            <w:r>
              <w:rPr>
                <w:rFonts w:hint="eastAsia"/>
                <w:color w:val="000000" w:themeColor="text1"/>
                <w:sz w:val="24"/>
                <w:szCs w:val="24"/>
                <w:lang w:val="en-US" w:eastAsia="zh-CN"/>
              </w:rPr>
              <w:t xml:space="preserve">    13:00-14:00</w:t>
            </w:r>
          </w:p>
        </w:tc>
        <w:tc>
          <w:tcPr>
            <w:tcW w:w="1347"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9" w:type="dxa"/>
            <w:vMerge w:val="continue"/>
            <w:vAlign w:val="center"/>
          </w:tcPr>
          <w:p>
            <w:pPr>
              <w:rPr>
                <w:color w:val="000000" w:themeColor="text1"/>
              </w:rPr>
            </w:pPr>
          </w:p>
        </w:tc>
        <w:tc>
          <w:tcPr>
            <w:tcW w:w="1012" w:type="dxa"/>
            <w:vMerge w:val="continue"/>
            <w:vAlign w:val="center"/>
          </w:tcPr>
          <w:p>
            <w:pPr>
              <w:rPr>
                <w:color w:val="000000" w:themeColor="text1"/>
              </w:rPr>
            </w:p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000000" w:themeColor="text1"/>
                <w:sz w:val="24"/>
                <w:szCs w:val="24"/>
                <w:lang w:eastAsia="zh-CN"/>
              </w:rPr>
            </w:pPr>
            <w:r>
              <w:rPr>
                <w:rFonts w:hint="eastAsia"/>
                <w:color w:val="000000" w:themeColor="text1"/>
                <w:sz w:val="24"/>
                <w:szCs w:val="24"/>
              </w:rPr>
              <w:t>审核条款：5.3岗位、职责和权限</w:t>
            </w:r>
            <w:r>
              <w:rPr>
                <w:rFonts w:hint="eastAsia"/>
                <w:color w:val="000000" w:themeColor="text1"/>
                <w:sz w:val="24"/>
                <w:szCs w:val="24"/>
                <w:lang w:eastAsia="zh-CN"/>
              </w:rPr>
              <w:t>；</w:t>
            </w:r>
            <w:r>
              <w:rPr>
                <w:rFonts w:hint="eastAsia"/>
                <w:color w:val="000000" w:themeColor="text1"/>
                <w:sz w:val="24"/>
                <w:szCs w:val="24"/>
              </w:rPr>
              <w:t>6.2 能源指</w:t>
            </w:r>
            <w:r>
              <w:rPr>
                <w:rFonts w:hint="eastAsia"/>
                <w:color w:val="000000" w:themeColor="text1"/>
                <w:sz w:val="24"/>
                <w:szCs w:val="24"/>
                <w:lang w:val="en-US" w:eastAsia="zh-CN"/>
              </w:rPr>
              <w:t>标完成情况；</w:t>
            </w:r>
            <w:r>
              <w:rPr>
                <w:rFonts w:hint="eastAsia"/>
                <w:color w:val="000000" w:themeColor="text1"/>
                <w:sz w:val="24"/>
                <w:szCs w:val="24"/>
              </w:rPr>
              <w:t>8.1 运行控制</w:t>
            </w:r>
            <w:r>
              <w:rPr>
                <w:rFonts w:hint="eastAsia"/>
                <w:color w:val="000000" w:themeColor="text1"/>
                <w:sz w:val="24"/>
                <w:szCs w:val="24"/>
                <w:lang w:eastAsia="zh-CN"/>
              </w:rPr>
              <w:t>。</w:t>
            </w:r>
          </w:p>
        </w:tc>
        <w:tc>
          <w:tcPr>
            <w:tcW w:w="1347"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4" w:hRule="atLeast"/>
        </w:trPr>
        <w:tc>
          <w:tcPr>
            <w:tcW w:w="1549"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岗位、职责和权限</w:t>
            </w:r>
          </w:p>
        </w:tc>
        <w:tc>
          <w:tcPr>
            <w:tcW w:w="1012"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5.3</w:t>
            </w:r>
          </w:p>
        </w:tc>
        <w:tc>
          <w:tcPr>
            <w:tcW w:w="11026" w:type="dxa"/>
          </w:tcPr>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财务部：领导 李垚，共2人，岗位设置：一个会计，一个出纳。</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提供：《主要岗位任职要求</w:t>
            </w:r>
            <w:r>
              <w:rPr>
                <w:rFonts w:hint="eastAsia" w:eastAsia="宋体" w:cs="Times New Roman"/>
                <w:color w:val="000000" w:themeColor="text1"/>
                <w:kern w:val="2"/>
                <w:sz w:val="21"/>
                <w:szCs w:val="22"/>
                <w:lang w:val="en-US" w:eastAsia="zh-CN" w:bidi="ar-SA"/>
                <w14:textFill>
                  <w14:solidFill>
                    <w14:schemeClr w14:val="tx1"/>
                  </w14:solidFill>
                </w14:textFill>
              </w:rPr>
              <w:tab/>
            </w:r>
            <w:r>
              <w:rPr>
                <w:rFonts w:hint="eastAsia" w:eastAsia="宋体" w:cs="Times New Roman"/>
                <w:color w:val="000000" w:themeColor="text1"/>
                <w:kern w:val="2"/>
                <w:sz w:val="21"/>
                <w:szCs w:val="22"/>
                <w:lang w:val="en-US" w:eastAsia="zh-CN" w:bidi="ar-SA"/>
                <w14:textFill>
                  <w14:solidFill>
                    <w14:schemeClr w14:val="tx1"/>
                  </w14:solidFill>
                </w14:textFill>
              </w:rPr>
              <w:t>YJ-ZD01-2021》、《主要岗位人员职责</w:t>
            </w:r>
            <w:r>
              <w:rPr>
                <w:rFonts w:hint="eastAsia" w:eastAsia="宋体" w:cs="Times New Roman"/>
                <w:color w:val="000000" w:themeColor="text1"/>
                <w:kern w:val="2"/>
                <w:sz w:val="21"/>
                <w:szCs w:val="22"/>
                <w:lang w:val="en-US" w:eastAsia="zh-CN" w:bidi="ar-SA"/>
                <w14:textFill>
                  <w14:solidFill>
                    <w14:schemeClr w14:val="tx1"/>
                  </w14:solidFill>
                </w14:textFill>
              </w:rPr>
              <w:tab/>
            </w:r>
            <w:r>
              <w:rPr>
                <w:rFonts w:hint="eastAsia" w:eastAsia="宋体" w:cs="Times New Roman"/>
                <w:color w:val="000000" w:themeColor="text1"/>
                <w:kern w:val="2"/>
                <w:sz w:val="21"/>
                <w:szCs w:val="22"/>
                <w:lang w:val="en-US" w:eastAsia="zh-CN" w:bidi="ar-SA"/>
                <w14:textFill>
                  <w14:solidFill>
                    <w14:schemeClr w14:val="tx1"/>
                  </w14:solidFill>
                </w14:textFill>
              </w:rPr>
              <w:t>YJ-ZD02-2021》</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一、财务部职责范围</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部门职责：①根据会计制度建立完善的财务核算体系，对公司经济业务进行账务处理；②定期对公司的资金营运能力进行分析，为公司的生产经营提供良好的资金支持</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1、认真贯彻执行国家有关财务管理的法律法规，确保财务工作的合法性。</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2、建立健全公司各种财务管理制度，严格按照财务工作程序执行。</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3、采取切实有效的措施保证公司资金和财产的安全，维护公司的合法权益。</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4、编制和执行财务收支计划，督促有关部门加强资金回流，确保资金的有效供应。</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5、进行成本、费用核算、考核和控制，督促有关部门降低消耗、节约费用，提高经济效益。</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6、建立健全各种财务帐目，编制财务报表。</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7、参与公司工程承包合同和采购合同的评审工作。</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8、及时核算和上缴各种税金。</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9、参与业务项目结算，参与采供部与材料供应商结算。</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10、会计档案资料的收集、整理，确保档案资料的完整、安全、有效。</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11、完成公司工作程序规定的其他工作，完成领导布置的其他任务。</w:t>
            </w:r>
          </w:p>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12、加强本部门人员的培训，提高本部门工作人员素质。岗位设置：一个会计，一个出纳。</w:t>
            </w:r>
          </w:p>
        </w:tc>
        <w:tc>
          <w:tcPr>
            <w:tcW w:w="1347" w:type="dxa"/>
          </w:tcPr>
          <w:p>
            <w:pPr>
              <w:rPr>
                <w:rFonts w:hint="default" w:eastAsia="宋体"/>
                <w:color w:val="000000" w:themeColor="text1"/>
                <w:lang w:val="en-US" w:eastAsia="zh-CN"/>
              </w:rPr>
            </w:pPr>
            <w:r>
              <w:rPr>
                <w:rFonts w:hint="eastAsia"/>
                <w:color w:val="000000" w:themeColor="text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549"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能源指标完成情况</w:t>
            </w:r>
          </w:p>
        </w:tc>
        <w:tc>
          <w:tcPr>
            <w:tcW w:w="1012"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 xml:space="preserve">6.2 </w:t>
            </w:r>
          </w:p>
        </w:tc>
        <w:tc>
          <w:tcPr>
            <w:tcW w:w="11026" w:type="dxa"/>
          </w:tcPr>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提供财务部能源管理目标</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1）确保环境和职业健康安全管理资金100%及时、足额到位；</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2）和公司的能源目标配合，完成公司的能源目标。</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查阅2020年度以及2021年1-10月目标分解及统计方法记录，财务部基本完成目标指标，财务管理全部完成。</w:t>
            </w:r>
          </w:p>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1F497D" w:themeColor="text2"/>
                <w:kern w:val="2"/>
                <w:sz w:val="21"/>
                <w:szCs w:val="22"/>
                <w:lang w:val="en-US" w:eastAsia="zh-CN" w:bidi="ar-SA"/>
                <w14:textFill>
                  <w14:gradFill>
                    <w14:gsLst>
                      <w14:gs w14:pos="0">
                        <w14:srgbClr w14:val="007BD3"/>
                      </w14:gs>
                      <w14:gs w14:pos="100000">
                        <w14:srgbClr w14:val="034373"/>
                      </w14:gs>
                    </w14:gsLst>
                    <w14:lin w14:scaled="0"/>
                  </w14:gradFill>
                </w14:textFill>
              </w:rPr>
              <w:t>建议将ES目标指标修改为“确保能源、环境和职业健康安全管理资金100%及时、足额到位”——问题项</w:t>
            </w:r>
          </w:p>
        </w:tc>
        <w:tc>
          <w:tcPr>
            <w:tcW w:w="1347"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4" w:hRule="atLeast"/>
        </w:trPr>
        <w:tc>
          <w:tcPr>
            <w:tcW w:w="1549"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运行控制</w:t>
            </w:r>
          </w:p>
        </w:tc>
        <w:tc>
          <w:tcPr>
            <w:tcW w:w="1012" w:type="dxa"/>
          </w:tcPr>
          <w:p>
            <w:pPr>
              <w:pStyle w:val="2"/>
              <w:ind w:firstLine="435"/>
              <w:jc w:val="both"/>
              <w:rPr>
                <w:rFonts w:hint="default"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 xml:space="preserve">8.1 </w:t>
            </w:r>
          </w:p>
        </w:tc>
        <w:tc>
          <w:tcPr>
            <w:tcW w:w="11026" w:type="dxa"/>
          </w:tcPr>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出示相关规定：包括——借款审批及标准、财务部职责范围、财务部岗位职责、财务基础工作规范等。</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 xml:space="preserve">近年来能源消耗项目情况：提供《近几月能源消耗账目》 </w:t>
            </w:r>
          </w:p>
          <w:p>
            <w:pPr>
              <w:pStyle w:val="2"/>
              <w:ind w:firstLine="435"/>
              <w:jc w:val="both"/>
              <w:rPr>
                <w:rFonts w:hint="eastAsia" w:eastAsia="宋体" w:cs="Times New Roman"/>
                <w:color w:val="000000" w:themeColor="text1"/>
                <w:kern w:val="2"/>
                <w:sz w:val="21"/>
                <w:szCs w:val="22"/>
                <w:lang w:val="en-US" w:eastAsia="zh-CN" w:bidi="ar-SA"/>
                <w14:textFill>
                  <w14:solidFill>
                    <w14:schemeClr w14:val="tx1"/>
                  </w14:solidFill>
                </w14:textFill>
              </w:rPr>
            </w:pPr>
          </w:p>
          <w:tbl>
            <w:tblPr>
              <w:tblStyle w:val="7"/>
              <w:tblW w:w="9784"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10"/>
              <w:gridCol w:w="972"/>
              <w:gridCol w:w="996"/>
              <w:gridCol w:w="954"/>
              <w:gridCol w:w="798"/>
              <w:gridCol w:w="894"/>
              <w:gridCol w:w="972"/>
              <w:gridCol w:w="846"/>
              <w:gridCol w:w="960"/>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0" w:hRule="atLeast"/>
              </w:trPr>
              <w:tc>
                <w:tcPr>
                  <w:tcW w:w="810"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月份</w:t>
                  </w:r>
                </w:p>
              </w:tc>
              <w:tc>
                <w:tcPr>
                  <w:tcW w:w="97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w:t>
                  </w:r>
                </w:p>
              </w:tc>
              <w:tc>
                <w:tcPr>
                  <w:tcW w:w="99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4</w:t>
                  </w:r>
                </w:p>
              </w:tc>
              <w:tc>
                <w:tcPr>
                  <w:tcW w:w="95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5</w:t>
                  </w:r>
                </w:p>
              </w:tc>
              <w:tc>
                <w:tcPr>
                  <w:tcW w:w="798"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6</w:t>
                  </w:r>
                </w:p>
              </w:tc>
              <w:tc>
                <w:tcPr>
                  <w:tcW w:w="89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7</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8</w:t>
                  </w:r>
                </w:p>
              </w:tc>
              <w:tc>
                <w:tcPr>
                  <w:tcW w:w="84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9</w:t>
                  </w:r>
                </w:p>
              </w:tc>
              <w:tc>
                <w:tcPr>
                  <w:tcW w:w="960"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10</w:t>
                  </w:r>
                </w:p>
              </w:tc>
              <w:tc>
                <w:tcPr>
                  <w:tcW w:w="1582" w:type="dxa"/>
                  <w:shd w:val="clear" w:color="auto" w:fill="auto"/>
                  <w:tcMar>
                    <w:top w:w="6" w:type="dxa"/>
                    <w:left w:w="6" w:type="dxa"/>
                    <w:right w:w="6" w:type="dxa"/>
                  </w:tcMar>
                  <w:vAlign w:val="center"/>
                </w:tcPr>
                <w:p>
                  <w:pPr>
                    <w:pStyle w:val="2"/>
                    <w:jc w:val="both"/>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（1-10）</w:t>
                  </w:r>
                  <w:r>
                    <w:rPr>
                      <w:rFonts w:hint="eastAsia" w:eastAsia="宋体" w:cs="Times New Roman"/>
                      <w:color w:val="000000" w:themeColor="text1"/>
                      <w:kern w:val="2"/>
                      <w:sz w:val="21"/>
                      <w:szCs w:val="22"/>
                      <w:lang w:val="en-US" w:eastAsia="zh-CN" w:bidi="ar-SA"/>
                      <w14:textFill>
                        <w14:solidFill>
                          <w14:schemeClr w14:val="tx1"/>
                        </w14:solidFill>
                      </w14:textFill>
                    </w:rPr>
                    <w:br w:type="textWrapping"/>
                  </w:r>
                  <w:r>
                    <w:rPr>
                      <w:rFonts w:hint="eastAsia" w:eastAsia="宋体" w:cs="Times New Roman"/>
                      <w:color w:val="000000" w:themeColor="text1"/>
                      <w:kern w:val="2"/>
                      <w:sz w:val="21"/>
                      <w:szCs w:val="22"/>
                      <w:lang w:val="en-US" w:eastAsia="zh-CN" w:bidi="ar-SA"/>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810" w:type="dxa"/>
                  <w:shd w:val="clear" w:color="auto" w:fill="auto"/>
                  <w:noWrap/>
                  <w:tcMar>
                    <w:top w:w="6" w:type="dxa"/>
                    <w:left w:w="6" w:type="dxa"/>
                    <w:right w:w="6" w:type="dxa"/>
                  </w:tcMar>
                  <w:vAlign w:val="center"/>
                </w:tcPr>
                <w:p>
                  <w:pPr>
                    <w:pStyle w:val="2"/>
                    <w:jc w:val="center"/>
                    <w:rPr>
                      <w:rFonts w:hint="default" w:eastAsia="宋体" w:cs="Times New Roman"/>
                      <w:color w:val="000000" w:themeColor="text1"/>
                      <w:kern w:val="2"/>
                      <w:sz w:val="21"/>
                      <w:szCs w:val="22"/>
                      <w:lang w:val="en-US" w:eastAsia="zh-CN" w:bidi="ar-SA"/>
                      <w14:textFill>
                        <w14:solidFill>
                          <w14:schemeClr w14:val="tx1"/>
                        </w14:solidFill>
                      </w14:textFill>
                    </w:rPr>
                  </w:pPr>
                  <w:r>
                    <w:rPr>
                      <w:rFonts w:hint="default" w:eastAsia="宋体" w:cs="Times New Roman"/>
                      <w:color w:val="000000" w:themeColor="text1"/>
                      <w:kern w:val="2"/>
                      <w:sz w:val="21"/>
                      <w:szCs w:val="22"/>
                      <w:lang w:val="en-US" w:eastAsia="zh-CN" w:bidi="ar-SA"/>
                      <w14:textFill>
                        <w14:solidFill>
                          <w14:schemeClr w14:val="tx1"/>
                        </w14:solidFill>
                      </w14:textFill>
                    </w:rPr>
                    <w:t>产量（m3）</w:t>
                  </w:r>
                </w:p>
              </w:tc>
              <w:tc>
                <w:tcPr>
                  <w:tcW w:w="97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26861.5</w:t>
                  </w:r>
                </w:p>
              </w:tc>
              <w:tc>
                <w:tcPr>
                  <w:tcW w:w="996"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28608.5</w:t>
                  </w:r>
                </w:p>
              </w:tc>
              <w:tc>
                <w:tcPr>
                  <w:tcW w:w="954"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26473.5</w:t>
                  </w:r>
                </w:p>
              </w:tc>
              <w:tc>
                <w:tcPr>
                  <w:tcW w:w="798"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12605</w:t>
                  </w:r>
                </w:p>
              </w:tc>
              <w:tc>
                <w:tcPr>
                  <w:tcW w:w="894"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5891.5</w:t>
                  </w:r>
                </w:p>
              </w:tc>
              <w:tc>
                <w:tcPr>
                  <w:tcW w:w="97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11203.5</w:t>
                  </w:r>
                </w:p>
              </w:tc>
              <w:tc>
                <w:tcPr>
                  <w:tcW w:w="846"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2820.7</w:t>
                  </w:r>
                </w:p>
              </w:tc>
              <w:tc>
                <w:tcPr>
                  <w:tcW w:w="960"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8000.5</w:t>
                  </w:r>
                </w:p>
              </w:tc>
              <w:tc>
                <w:tcPr>
                  <w:tcW w:w="158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122464.7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810" w:type="dxa"/>
                  <w:shd w:val="clear" w:color="auto" w:fill="auto"/>
                  <w:noWrap/>
                  <w:tcMar>
                    <w:top w:w="6" w:type="dxa"/>
                    <w:left w:w="6" w:type="dxa"/>
                    <w:right w:w="6" w:type="dxa"/>
                  </w:tcMar>
                  <w:vAlign w:val="center"/>
                </w:tcPr>
                <w:p>
                  <w:pPr>
                    <w:pStyle w:val="2"/>
                    <w:jc w:val="center"/>
                    <w:rPr>
                      <w:rFonts w:hint="default" w:eastAsia="宋体" w:cs="Times New Roman"/>
                      <w:color w:val="000000" w:themeColor="text1"/>
                      <w:kern w:val="2"/>
                      <w:sz w:val="21"/>
                      <w:szCs w:val="22"/>
                      <w:lang w:val="en-US" w:eastAsia="zh-CN" w:bidi="ar-SA"/>
                      <w14:textFill>
                        <w14:solidFill>
                          <w14:schemeClr w14:val="tx1"/>
                        </w14:solidFill>
                      </w14:textFill>
                    </w:rPr>
                  </w:pPr>
                  <w:r>
                    <w:rPr>
                      <w:rFonts w:hint="default" w:eastAsia="宋体" w:cs="Times New Roman"/>
                      <w:color w:val="000000" w:themeColor="text1"/>
                      <w:kern w:val="2"/>
                      <w:sz w:val="21"/>
                      <w:szCs w:val="22"/>
                      <w:lang w:val="en-US" w:eastAsia="zh-CN" w:bidi="ar-SA"/>
                      <w14:textFill>
                        <w14:solidFill>
                          <w14:schemeClr w14:val="tx1"/>
                        </w14:solidFill>
                      </w14:textFill>
                    </w:rPr>
                    <w:t>电耗（度）</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34392</w:t>
                  </w:r>
                </w:p>
              </w:tc>
              <w:tc>
                <w:tcPr>
                  <w:tcW w:w="99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36629</w:t>
                  </w:r>
                </w:p>
              </w:tc>
              <w:tc>
                <w:tcPr>
                  <w:tcW w:w="954"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33896</w:t>
                  </w:r>
                </w:p>
              </w:tc>
              <w:tc>
                <w:tcPr>
                  <w:tcW w:w="798"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16139</w:t>
                  </w:r>
                </w:p>
              </w:tc>
              <w:tc>
                <w:tcPr>
                  <w:tcW w:w="89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7543</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14344</w:t>
                  </w:r>
                </w:p>
              </w:tc>
              <w:tc>
                <w:tcPr>
                  <w:tcW w:w="846"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3612</w:t>
                  </w:r>
                </w:p>
              </w:tc>
              <w:tc>
                <w:tcPr>
                  <w:tcW w:w="960"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10243</w:t>
                  </w:r>
                </w:p>
              </w:tc>
              <w:tc>
                <w:tcPr>
                  <w:tcW w:w="158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156798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810"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油耗（升）</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2238</w:t>
                  </w:r>
                </w:p>
              </w:tc>
              <w:tc>
                <w:tcPr>
                  <w:tcW w:w="99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2384</w:t>
                  </w:r>
                </w:p>
              </w:tc>
              <w:tc>
                <w:tcPr>
                  <w:tcW w:w="95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2206</w:t>
                  </w:r>
                </w:p>
              </w:tc>
              <w:tc>
                <w:tcPr>
                  <w:tcW w:w="798"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1050</w:t>
                  </w:r>
                </w:p>
              </w:tc>
              <w:tc>
                <w:tcPr>
                  <w:tcW w:w="89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491</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935</w:t>
                  </w:r>
                </w:p>
              </w:tc>
              <w:tc>
                <w:tcPr>
                  <w:tcW w:w="84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235</w:t>
                  </w:r>
                </w:p>
              </w:tc>
              <w:tc>
                <w:tcPr>
                  <w:tcW w:w="960"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666</w:t>
                  </w:r>
                </w:p>
              </w:tc>
              <w:tc>
                <w:tcPr>
                  <w:tcW w:w="158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810"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水（吨）</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3760</w:t>
                  </w:r>
                </w:p>
              </w:tc>
              <w:tc>
                <w:tcPr>
                  <w:tcW w:w="99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4005</w:t>
                  </w:r>
                </w:p>
              </w:tc>
              <w:tc>
                <w:tcPr>
                  <w:tcW w:w="95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3706</w:t>
                  </w:r>
                </w:p>
              </w:tc>
              <w:tc>
                <w:tcPr>
                  <w:tcW w:w="798"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1765</w:t>
                  </w:r>
                </w:p>
              </w:tc>
              <w:tc>
                <w:tcPr>
                  <w:tcW w:w="894"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825</w:t>
                  </w:r>
                </w:p>
              </w:tc>
              <w:tc>
                <w:tcPr>
                  <w:tcW w:w="972"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1568</w:t>
                  </w:r>
                </w:p>
              </w:tc>
              <w:tc>
                <w:tcPr>
                  <w:tcW w:w="846"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395</w:t>
                  </w:r>
                </w:p>
              </w:tc>
              <w:tc>
                <w:tcPr>
                  <w:tcW w:w="960" w:type="dxa"/>
                  <w:shd w:val="clear" w:color="auto" w:fill="auto"/>
                  <w:noWrap/>
                  <w:tcMar>
                    <w:top w:w="6" w:type="dxa"/>
                    <w:left w:w="6" w:type="dxa"/>
                    <w:right w:w="6" w:type="dxa"/>
                  </w:tcMar>
                  <w:vAlign w:val="center"/>
                </w:tcPr>
                <w:p>
                  <w:pPr>
                    <w:pStyle w:val="2"/>
                    <w:ind w:firstLine="435"/>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1120</w:t>
                  </w:r>
                </w:p>
              </w:tc>
              <w:tc>
                <w:tcPr>
                  <w:tcW w:w="1582" w:type="dxa"/>
                  <w:shd w:val="clear" w:color="auto" w:fill="auto"/>
                  <w:noWrap/>
                  <w:tcMar>
                    <w:top w:w="6" w:type="dxa"/>
                    <w:left w:w="6" w:type="dxa"/>
                    <w:right w:w="6" w:type="dxa"/>
                  </w:tcMar>
                  <w:vAlign w:val="center"/>
                </w:tcPr>
                <w:p>
                  <w:pPr>
                    <w:pStyle w:val="2"/>
                    <w:jc w:val="center"/>
                    <w:rPr>
                      <w:rFonts w:hint="eastAsia" w:eastAsia="宋体" w:cs="Times New Roman"/>
                      <w:color w:val="000000" w:themeColor="text1"/>
                      <w:kern w:val="2"/>
                      <w:sz w:val="21"/>
                      <w:szCs w:val="22"/>
                      <w:lang w:val="en-US" w:eastAsia="zh-CN" w:bidi="ar-SA"/>
                      <w14:textFill>
                        <w14:solidFill>
                          <w14:schemeClr w14:val="tx1"/>
                        </w14:solidFill>
                      </w14:textFill>
                    </w:rPr>
                  </w:pPr>
                  <w:r>
                    <w:rPr>
                      <w:rFonts w:hint="eastAsia" w:eastAsia="宋体" w:cs="Times New Roman"/>
                      <w:color w:val="000000" w:themeColor="text1"/>
                      <w:kern w:val="2"/>
                      <w:sz w:val="21"/>
                      <w:szCs w:val="22"/>
                      <w:lang w:val="en-US" w:eastAsia="zh-CN" w:bidi="ar-SA"/>
                      <w14:textFill>
                        <w14:solidFill>
                          <w14:schemeClr w14:val="tx1"/>
                        </w14:solidFill>
                      </w14:textFill>
                    </w:rPr>
                    <w:t>17144</w:t>
                  </w:r>
                </w:p>
              </w:tc>
            </w:tr>
          </w:tbl>
          <w:p>
            <w:pPr>
              <w:pStyle w:val="2"/>
              <w:jc w:val="both"/>
              <w:rPr>
                <w:rFonts w:hint="eastAsia" w:eastAsia="宋体" w:cs="Times New Roman"/>
                <w:color w:val="000000" w:themeColor="text1"/>
                <w:kern w:val="2"/>
                <w:sz w:val="21"/>
                <w:szCs w:val="22"/>
                <w:lang w:val="en-US" w:eastAsia="zh-CN" w:bidi="ar-SA"/>
                <w14:textFill>
                  <w14:solidFill>
                    <w14:schemeClr w14:val="tx1"/>
                  </w14:solidFill>
                </w14:textFill>
              </w:rPr>
            </w:pPr>
          </w:p>
        </w:tc>
        <w:tc>
          <w:tcPr>
            <w:tcW w:w="1347" w:type="dxa"/>
          </w:tcPr>
          <w:p>
            <w:pPr>
              <w:rPr>
                <w:color w:val="000000" w:themeColor="text1"/>
              </w:rPr>
            </w:pPr>
          </w:p>
        </w:tc>
      </w:tr>
    </w:tbl>
    <w:p>
      <w:pPr>
        <w:pStyle w:val="4"/>
      </w:pPr>
      <w:r>
        <w:rPr>
          <w:rFonts w:hint="eastAsia"/>
        </w:rPr>
        <w:t>说明：不符合标注N</w:t>
      </w:r>
    </w:p>
    <w:p>
      <w:pPr>
        <w:pStyle w:val="4"/>
        <w:rPr>
          <w:rFonts w:hint="eastAsia"/>
        </w:rPr>
      </w:pPr>
    </w:p>
    <w:p>
      <w:pPr>
        <w:pStyle w:val="4"/>
        <w:rPr>
          <w:rFonts w:hint="eastAsia"/>
        </w:rPr>
      </w:pPr>
    </w:p>
    <w:p>
      <w:pPr>
        <w:pStyle w:val="4"/>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Merge w:val="restart"/>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过程与活动、</w:t>
            </w:r>
          </w:p>
          <w:p>
            <w:pPr>
              <w:rPr>
                <w:rFonts w:hint="eastAsia"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抽样计划</w:t>
            </w:r>
          </w:p>
        </w:tc>
        <w:tc>
          <w:tcPr>
            <w:tcW w:w="960" w:type="dxa"/>
            <w:vMerge w:val="restart"/>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涉及</w:t>
            </w:r>
          </w:p>
          <w:p>
            <w:pPr>
              <w:rPr>
                <w:rFonts w:hint="eastAsia"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条款</w:t>
            </w:r>
          </w:p>
        </w:tc>
        <w:tc>
          <w:tcPr>
            <w:tcW w:w="10376" w:type="dxa"/>
            <w:vAlign w:val="center"/>
          </w:tcPr>
          <w:p>
            <w:pP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受审核部门：</w:t>
            </w:r>
            <w:r>
              <w:rPr>
                <w:rFonts w:hint="eastAsia" w:cs="Times New Roman"/>
                <w:color w:val="000000" w:themeColor="text1"/>
                <w:szCs w:val="22"/>
                <w:lang w:val="en-US" w:eastAsia="zh-CN"/>
                <w14:textFill>
                  <w14:solidFill>
                    <w14:schemeClr w14:val="tx1"/>
                  </w14:solidFill>
                </w14:textFill>
              </w:rPr>
              <w:t>材料供应</w:t>
            </w:r>
            <w:r>
              <w:rPr>
                <w:rFonts w:hint="eastAsia" w:ascii="Times New Roman" w:hAnsi="Times New Roman" w:eastAsia="宋体" w:cs="Times New Roman"/>
                <w:color w:val="000000" w:themeColor="text1"/>
                <w:szCs w:val="22"/>
                <w:lang w:val="en-US" w:eastAsia="zh-CN"/>
                <w14:textFill>
                  <w14:solidFill>
                    <w14:schemeClr w14:val="tx1"/>
                  </w14:solidFill>
                </w14:textFill>
              </w:rPr>
              <w:t>部    主管领导：</w:t>
            </w:r>
            <w:r>
              <w:rPr>
                <w:rFonts w:hint="eastAsia" w:cs="Times New Roman"/>
                <w:color w:val="000000" w:themeColor="text1"/>
                <w:szCs w:val="22"/>
                <w:lang w:val="en-US" w:eastAsia="zh-CN"/>
                <w14:textFill>
                  <w14:solidFill>
                    <w14:schemeClr w14:val="tx1"/>
                  </w14:solidFill>
                </w14:textFill>
              </w:rPr>
              <w:t xml:space="preserve"> 张虎林 </w:t>
            </w:r>
            <w:r>
              <w:rPr>
                <w:rFonts w:hint="eastAsia" w:ascii="Times New Roman" w:hAnsi="Times New Roman" w:eastAsia="宋体" w:cs="Times New Roman"/>
                <w:color w:val="000000" w:themeColor="text1"/>
                <w:szCs w:val="22"/>
                <w:lang w:val="en-US" w:eastAsia="zh-CN"/>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 xml:space="preserve"> 陪同人员： 李旭哲</w:t>
            </w:r>
            <w:r>
              <w:rPr>
                <w:rFonts w:hint="eastAsia" w:ascii="Times New Roman" w:hAnsi="Times New Roman" w:cs="Times New Roman"/>
                <w:color w:val="000000" w:themeColor="text1"/>
                <w:szCs w:val="22"/>
                <w:lang w:val="en-US" w:eastAsia="zh-CN"/>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p>
        </w:tc>
        <w:tc>
          <w:tcPr>
            <w:tcW w:w="1213"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p>
        </w:tc>
        <w:tc>
          <w:tcPr>
            <w:tcW w:w="960" w:type="dxa"/>
            <w:vMerge w:val="continue"/>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p>
        </w:tc>
        <w:tc>
          <w:tcPr>
            <w:tcW w:w="10376" w:type="dxa"/>
            <w:vAlign w:val="center"/>
          </w:tcPr>
          <w:p>
            <w:pP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 xml:space="preserve">审核员：王宁敏  孔祥春 </w:t>
            </w:r>
            <w:r>
              <w:rPr>
                <w:rFonts w:hint="eastAsia" w:cs="Times New Roman"/>
                <w:color w:val="000000" w:themeColor="text1"/>
                <w:szCs w:val="22"/>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2"/>
                <w:lang w:val="en-US" w:eastAsia="zh-CN"/>
                <w14:textFill>
                  <w14:solidFill>
                    <w14:schemeClr w14:val="tx1"/>
                  </w14:solidFill>
                </w14:textFill>
              </w:rPr>
              <w:t>审核时间：2021-</w:t>
            </w:r>
            <w:r>
              <w:rPr>
                <w:rFonts w:hint="eastAsia" w:cs="Times New Roman"/>
                <w:color w:val="000000" w:themeColor="text1"/>
                <w:szCs w:val="22"/>
                <w:lang w:val="en-US" w:eastAsia="zh-CN"/>
                <w14:textFill>
                  <w14:solidFill>
                    <w14:schemeClr w14:val="tx1"/>
                  </w14:solidFill>
                </w14:textFill>
              </w:rPr>
              <w:t>11</w:t>
            </w:r>
            <w:r>
              <w:rPr>
                <w:rFonts w:hint="eastAsia" w:ascii="Times New Roman" w:hAnsi="Times New Roman" w:eastAsia="宋体" w:cs="Times New Roman"/>
                <w:color w:val="000000" w:themeColor="text1"/>
                <w:szCs w:val="22"/>
                <w:lang w:val="en-US"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 xml:space="preserve">20   </w:t>
            </w:r>
            <w:r>
              <w:rPr>
                <w:rFonts w:hint="eastAsia" w:ascii="Times New Roman" w:hAnsi="Times New Roman" w:eastAsia="宋体" w:cs="Times New Roman"/>
                <w:color w:val="000000" w:themeColor="text1"/>
                <w:szCs w:val="22"/>
                <w:lang w:val="en-US" w:eastAsia="zh-CN"/>
                <w14:textFill>
                  <w14:solidFill>
                    <w14:schemeClr w14:val="tx1"/>
                  </w14:solidFill>
                </w14:textFill>
              </w:rPr>
              <w:t xml:space="preserve"> 14:00-16:00</w:t>
            </w:r>
            <w:r>
              <w:rPr>
                <w:rFonts w:hint="eastAsia" w:cs="Times New Roman"/>
                <w:color w:val="000000" w:themeColor="text1"/>
                <w:szCs w:val="22"/>
                <w:lang w:val="en-US" w:eastAsia="zh-CN"/>
                <w14:textFill>
                  <w14:solidFill>
                    <w14:schemeClr w14:val="tx1"/>
                  </w14:solidFill>
                </w14:textFill>
              </w:rPr>
              <w:t>；</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p>
        </w:tc>
        <w:tc>
          <w:tcPr>
            <w:tcW w:w="960" w:type="dxa"/>
            <w:vMerge w:val="continue"/>
            <w:vAlign w:val="center"/>
          </w:tcPr>
          <w:p>
            <w:pPr>
              <w:rPr>
                <w:rFonts w:hint="eastAsia" w:ascii="Times New Roman" w:hAnsi="Times New Roman" w:eastAsia="宋体" w:cs="Times New Roman"/>
                <w:color w:val="000000" w:themeColor="text1"/>
                <w:szCs w:val="22"/>
                <w:lang w:val="en-US" w:eastAsia="zh-CN"/>
                <w14:textFill>
                  <w14:solidFill>
                    <w14:schemeClr w14:val="tx1"/>
                  </w14:solidFill>
                </w14:textFill>
              </w:rPr>
            </w:pPr>
          </w:p>
        </w:tc>
        <w:tc>
          <w:tcPr>
            <w:tcW w:w="10376" w:type="dxa"/>
            <w:vAlign w:val="center"/>
          </w:tcPr>
          <w:p>
            <w:pPr>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Cs w:val="22"/>
                <w:lang w:val="en-US" w:eastAsia="zh-CN"/>
                <w14:textFill>
                  <w14:solidFill>
                    <w14:schemeClr w14:val="tx1"/>
                  </w14:solidFill>
                </w14:textFill>
              </w:rPr>
              <w:t>审核条款：5.3/材料供应部的职责和权限；8.1/8.3主要用能设备/材料的采购（含电器开关有无淘汰落后产品）</w:t>
            </w:r>
            <w:r>
              <w:rPr>
                <w:rFonts w:hint="eastAsia" w:cs="Times New Roman"/>
                <w:color w:val="000000" w:themeColor="text1"/>
                <w:szCs w:val="22"/>
                <w:lang w:val="en-US" w:eastAsia="zh-CN"/>
                <w14:textFill>
                  <w14:solidFill>
                    <w14:schemeClr w14:val="tx1"/>
                  </w14:solidFill>
                </w14:textFill>
              </w:rPr>
              <w:t>。</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2160" w:type="dxa"/>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1.组织的岗位、职责和权限，</w:t>
            </w:r>
          </w:p>
          <w:p>
            <w:pPr>
              <w:pStyle w:val="6"/>
              <w:ind w:left="0" w:leftChars="0" w:firstLine="0" w:firstLineChars="0"/>
              <w:rPr>
                <w:color w:val="000000" w:themeColor="text1"/>
                <w14:textFill>
                  <w14:solidFill>
                    <w14:schemeClr w14:val="tx1"/>
                  </w14:solidFill>
                </w14:textFill>
              </w:rPr>
            </w:pPr>
          </w:p>
        </w:tc>
        <w:tc>
          <w:tcPr>
            <w:tcW w:w="960" w:type="dxa"/>
          </w:tcPr>
          <w:p>
            <w:pPr>
              <w:rPr>
                <w:color w:val="000000" w:themeColor="text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5.3</w:t>
            </w:r>
          </w:p>
        </w:tc>
        <w:tc>
          <w:tcPr>
            <w:tcW w:w="10376" w:type="dxa"/>
          </w:tcPr>
          <w:p>
            <w:pPr>
              <w:numPr>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采购部：主管领导： 张虎林，提供：《主要岗位任职要求YJ-ZD01-2021》、《主要岗位人员职责YJ-ZD02-2021》，共1人，为实现公司年度经营目标，在采购部的领导下，全面负责公司物品的采购等工作，确保公司战略目标的实现。职责概述-产品采购计划制定、采购事务管理、供应商关系管理、市场开发管理、产品价格管理、部门建设。</w:t>
            </w:r>
            <w:r>
              <w:rPr>
                <w:rFonts w:hint="default"/>
                <w:color w:val="000000" w:themeColor="text1"/>
                <w:lang w:val="en-US" w:eastAsia="zh-CN"/>
                <w14:textFill>
                  <w14:solidFill>
                    <w14:schemeClr w14:val="tx1"/>
                  </w14:solidFill>
                </w14:textFill>
              </w:rPr>
              <w:t>部门人数：1</w:t>
            </w:r>
          </w:p>
          <w:p>
            <w:pPr>
              <w:pStyle w:val="6"/>
              <w:numPr>
                <w:ilvl w:val="0"/>
                <w:numId w:val="0"/>
              </w:num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部门职责：1.负责组织材料招投标工作，签定原材料采购合同； 2.负责对供方的考核、评价，组织落实原材料的货源及采购合同； 3. 负责资源综合利用的尾矿石采购报量工作及统计管理工作； 4. 负责料场的标识及料仓材料储存管理； 5.负责油库及供料单位在场内的安全与上料过程中监督管理； 6. 负责单据的核对、装订、编目和立卷归档工作；7. 负责监督本部门综合管理体系工作的日常管理，实施、监督检查管理体系运行的情况</w:t>
            </w:r>
            <w:r>
              <w:rPr>
                <w:rFonts w:hint="eastAsia"/>
                <w:color w:val="000000" w:themeColor="text1"/>
                <w:lang w:val="en-US" w:eastAsia="zh-CN"/>
                <w14:textFill>
                  <w14:solidFill>
                    <w14:schemeClr w14:val="tx1"/>
                  </w14:solidFill>
                </w14:textFill>
              </w:rPr>
              <w:t>。</w:t>
            </w: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2160" w:type="dxa"/>
          </w:tcPr>
          <w:p>
            <w:pPr>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运行的策划和控制</w:t>
            </w:r>
            <w:r>
              <w:rPr>
                <w:rFonts w:hint="eastAsia"/>
                <w:color w:val="000000" w:themeColor="text1"/>
                <w:lang w:val="en-US" w:eastAsia="zh-CN"/>
                <w14:textFill>
                  <w14:solidFill>
                    <w14:schemeClr w14:val="tx1"/>
                  </w14:solidFill>
                </w14:textFill>
              </w:rPr>
              <w:t>；</w:t>
            </w:r>
          </w:p>
          <w:p>
            <w:pPr>
              <w:pStyle w:val="6"/>
              <w:numPr>
                <w:ilvl w:val="0"/>
                <w:numId w:val="0"/>
              </w:numPr>
              <w:ind w:left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ascii="宋体" w:hAnsi="宋体" w:eastAsia="宋体" w:cs="Times New Roman"/>
                <w:color w:val="000000" w:themeColor="text1"/>
                <w:sz w:val="21"/>
                <w:szCs w:val="21"/>
                <w14:textFill>
                  <w14:solidFill>
                    <w14:schemeClr w14:val="tx1"/>
                  </w14:solidFill>
                </w14:textFill>
              </w:rPr>
              <w:t>采购</w:t>
            </w:r>
          </w:p>
        </w:tc>
        <w:tc>
          <w:tcPr>
            <w:tcW w:w="960" w:type="dxa"/>
          </w:tcPr>
          <w:p>
            <w:pPr>
              <w:rPr>
                <w:rFonts w:hint="default" w:eastAsia="宋体"/>
                <w:color w:val="000000" w:themeColor="text1"/>
                <w:lang w:val="en-US" w:eastAsia="zh-CN"/>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8.1</w:t>
            </w:r>
            <w:r>
              <w:rPr>
                <w:rFonts w:hint="eastAsia" w:ascii="宋体" w:hAnsi="宋体" w:cs="Times New Roman"/>
                <w:color w:val="000000" w:themeColor="text1"/>
                <w:sz w:val="21"/>
                <w:szCs w:val="21"/>
                <w:lang w:val="en-US" w:eastAsia="zh-CN"/>
                <w14:textFill>
                  <w14:solidFill>
                    <w14:schemeClr w14:val="tx1"/>
                  </w14:solidFill>
                </w14:textFill>
              </w:rPr>
              <w:t>/8.3</w:t>
            </w:r>
          </w:p>
        </w:tc>
        <w:tc>
          <w:tcPr>
            <w:tcW w:w="10376" w:type="dxa"/>
          </w:tcPr>
          <w:p>
            <w:pPr>
              <w:rPr>
                <w:rFonts w:hint="default"/>
                <w:lang w:val="en-US" w:eastAsia="zh-CN"/>
              </w:rPr>
            </w:pPr>
            <w:r>
              <w:rPr>
                <w:rFonts w:hint="eastAsia"/>
                <w:lang w:val="en-US" w:eastAsia="zh-CN"/>
              </w:rPr>
              <w:t>1、提供</w:t>
            </w:r>
            <w:r>
              <w:rPr>
                <w:rFonts w:hint="eastAsia"/>
              </w:rPr>
              <w:t>文件化信息</w:t>
            </w:r>
            <w:r>
              <w:rPr>
                <w:rFonts w:hint="eastAsia"/>
                <w:lang w:eastAsia="zh-CN"/>
              </w:rPr>
              <w:t>：</w:t>
            </w:r>
            <w:r>
              <w:rPr>
                <w:rFonts w:hint="eastAsia"/>
                <w:lang w:val="en-US" w:eastAsia="zh-CN"/>
              </w:rPr>
              <w:t>《能源管理手册》、</w:t>
            </w:r>
            <w:r>
              <w:rPr>
                <w:rFonts w:hint="eastAsia"/>
                <w:lang w:eastAsia="zh-CN"/>
              </w:rPr>
              <w:t>《</w:t>
            </w:r>
            <w:r>
              <w:rPr>
                <w:rFonts w:hint="eastAsia"/>
                <w:lang w:val="en-US" w:eastAsia="zh-CN"/>
              </w:rPr>
              <w:t>程序文件清单</w:t>
            </w:r>
            <w:r>
              <w:rPr>
                <w:rFonts w:hint="eastAsia"/>
                <w:lang w:eastAsia="zh-CN"/>
              </w:rPr>
              <w:t>》</w:t>
            </w:r>
            <w:r>
              <w:rPr>
                <w:rFonts w:hint="eastAsia"/>
                <w:lang w:val="en-US" w:eastAsia="zh-CN"/>
              </w:rPr>
              <w:t>主要有《纠正和预防措施控制程序》《采购控制程序》《能源资源管理制度YJ-ZD19-2021》、《仓库管理办法YJ-ZD11-2021》《设备管理办法YJ-ZD05-2021》《原材料管理制度》《原材料质量控制措施》《原材料储料制度》《原材料使用制度》等，符合管理实际，有发布、实施。有编审批。确保了其适宜性和充分性。</w:t>
            </w:r>
          </w:p>
          <w:p>
            <w:pPr>
              <w:rPr>
                <w:rFonts w:hint="default"/>
                <w:lang w:val="en-US" w:eastAsia="zh-CN"/>
              </w:rPr>
            </w:pPr>
            <w:r>
              <w:rPr>
                <w:rFonts w:hint="eastAsia"/>
                <w:lang w:val="en-US" w:eastAsia="zh-CN"/>
              </w:rPr>
              <w:t>2、关于能源采购：提供组织的《能源管理手册》其中：</w:t>
            </w:r>
          </w:p>
          <w:p>
            <w:pPr>
              <w:pStyle w:val="6"/>
              <w:ind w:left="0" w:leftChars="0" w:firstLine="420" w:firstLineChars="200"/>
              <w:rPr>
                <w:rFonts w:hint="default"/>
                <w:lang w:val="en-US" w:eastAsia="zh-CN"/>
              </w:rPr>
            </w:pPr>
            <w:r>
              <w:rPr>
                <w:rFonts w:hint="eastAsia"/>
                <w:lang w:val="en-US" w:eastAsia="zh-CN"/>
              </w:rPr>
              <w:t>“8.4  外部提供的过程、产品和服务的控制</w:t>
            </w:r>
            <w:r>
              <w:rPr>
                <w:rFonts w:hint="default"/>
                <w:lang w:val="en-US" w:eastAsia="zh-CN"/>
              </w:rPr>
              <w:t>”</w:t>
            </w:r>
          </w:p>
          <w:p>
            <w:pPr>
              <w:pStyle w:val="6"/>
              <w:ind w:left="0" w:leftChars="0" w:firstLine="420" w:firstLineChars="200"/>
              <w:rPr>
                <w:rFonts w:hint="eastAsia"/>
                <w:lang w:val="en-US" w:eastAsia="zh-CN"/>
              </w:rPr>
            </w:pPr>
            <w:r>
              <w:rPr>
                <w:rFonts w:hint="eastAsia"/>
                <w:lang w:val="en-US" w:eastAsia="zh-CN"/>
              </w:rPr>
              <w:t>“公司采购由 材料供应部 负责，主要包括原材料、辅料、包装材料、零配件、能源、用能设备等的采购和验证，公司编制了《采购控制程序》， 对相关过程控制进行具体描述，以满足如下要求。”......</w:t>
            </w:r>
          </w:p>
          <w:p>
            <w:pPr>
              <w:pStyle w:val="6"/>
              <w:ind w:left="0" w:leftChars="0" w:firstLine="0" w:firstLineChars="0"/>
              <w:rPr>
                <w:rFonts w:hint="default"/>
                <w:lang w:val="en-US" w:eastAsia="zh-CN"/>
              </w:rPr>
            </w:pPr>
            <w:r>
              <w:rPr>
                <w:rFonts w:hint="eastAsia"/>
                <w:lang w:val="en-US" w:eastAsia="zh-CN"/>
              </w:rPr>
              <w:t>“</w:t>
            </w:r>
            <w:r>
              <w:rPr>
                <w:rFonts w:hint="default"/>
                <w:lang w:val="en-US" w:eastAsia="zh-CN"/>
              </w:rPr>
              <w:t>8.4.3  采购产品的验证</w:t>
            </w:r>
            <w:r>
              <w:rPr>
                <w:rFonts w:hint="eastAsia"/>
                <w:lang w:val="en-US" w:eastAsia="zh-CN"/>
              </w:rPr>
              <w:t>”</w:t>
            </w:r>
          </w:p>
          <w:p>
            <w:pPr>
              <w:pStyle w:val="6"/>
              <w:ind w:left="0" w:leftChars="0" w:firstLine="0" w:firstLineChars="0"/>
              <w:rPr>
                <w:rFonts w:hint="default"/>
                <w:lang w:val="en-US" w:eastAsia="zh-CN"/>
              </w:rPr>
            </w:pPr>
            <w:r>
              <w:rPr>
                <w:rFonts w:hint="eastAsia"/>
                <w:lang w:val="en-US" w:eastAsia="zh-CN"/>
              </w:rPr>
              <w:t>“</w:t>
            </w:r>
            <w:r>
              <w:rPr>
                <w:rFonts w:hint="default"/>
                <w:lang w:val="en-US" w:eastAsia="zh-CN"/>
              </w:rPr>
              <w:t>材料供应部 通过检查供方资质和产品合格证明，结合产品抽检，确保采购的产品满足规定的采购要求</w:t>
            </w:r>
            <w:r>
              <w:rPr>
                <w:rFonts w:hint="eastAsia"/>
                <w:lang w:val="en-US" w:eastAsia="zh-CN"/>
              </w:rPr>
              <w:t>.</w:t>
            </w:r>
          </w:p>
          <w:p>
            <w:pPr>
              <w:pStyle w:val="6"/>
              <w:rPr>
                <w:rFonts w:hint="default"/>
                <w:lang w:val="en-US" w:eastAsia="zh-CN"/>
              </w:rPr>
            </w:pPr>
            <w:r>
              <w:rPr>
                <w:rFonts w:hint="default"/>
                <w:lang w:val="en-US" w:eastAsia="zh-CN"/>
              </w:rPr>
              <w:t>需在供方货源处进行验收时，派出有资格和能力的相关人员进行采购产品验证，并出具放行文件。对采购</w:t>
            </w:r>
          </w:p>
          <w:p>
            <w:pPr>
              <w:pStyle w:val="6"/>
              <w:ind w:left="0" w:leftChars="0" w:firstLine="0" w:firstLineChars="0"/>
              <w:rPr>
                <w:rFonts w:hint="default"/>
                <w:lang w:val="en-US" w:eastAsia="zh-CN"/>
              </w:rPr>
            </w:pPr>
            <w:r>
              <w:rPr>
                <w:rFonts w:hint="default"/>
                <w:lang w:val="en-US" w:eastAsia="zh-CN"/>
              </w:rPr>
              <w:t>产品的验证方法和标准应在采购文件中得到规定。</w:t>
            </w:r>
          </w:p>
          <w:p>
            <w:pPr>
              <w:pStyle w:val="6"/>
              <w:ind w:left="0" w:leftChars="0" w:firstLine="0" w:firstLineChars="0"/>
              <w:rPr>
                <w:rFonts w:hint="default"/>
                <w:lang w:val="en-US" w:eastAsia="zh-CN"/>
              </w:rPr>
            </w:pPr>
            <w:r>
              <w:rPr>
                <w:rFonts w:hint="default"/>
                <w:lang w:val="en-US" w:eastAsia="zh-CN"/>
              </w:rPr>
              <w:t>采购产品的验证结果可作为供方评定的依据。</w:t>
            </w:r>
            <w:r>
              <w:rPr>
                <w:rFonts w:hint="eastAsia"/>
                <w:lang w:val="en-US" w:eastAsia="zh-CN"/>
              </w:rPr>
              <w:t>”</w:t>
            </w:r>
          </w:p>
          <w:p>
            <w:pPr>
              <w:pStyle w:val="6"/>
              <w:rPr>
                <w:rFonts w:hint="default"/>
                <w:lang w:val="en-US" w:eastAsia="zh-CN"/>
              </w:rPr>
            </w:pPr>
          </w:p>
          <w:p>
            <w:pPr>
              <w:numPr>
                <w:ilvl w:val="0"/>
                <w:numId w:val="0"/>
              </w:numPr>
              <w:jc w:val="left"/>
              <w:rPr>
                <w:rFonts w:hint="eastAsia"/>
                <w:lang w:val="en-US" w:eastAsia="zh-CN"/>
              </w:rPr>
            </w:pPr>
            <w:r>
              <w:rPr>
                <w:rFonts w:hint="eastAsia"/>
                <w:lang w:val="en-US" w:eastAsia="zh-CN"/>
              </w:rPr>
              <w:t>3、抽查2021年合格供方名录：</w:t>
            </w:r>
          </w:p>
          <w:p>
            <w:pPr>
              <w:pStyle w:val="6"/>
              <w:ind w:left="0" w:leftChars="0" w:firstLine="420" w:firstLineChars="200"/>
              <w:rPr>
                <w:rFonts w:hint="eastAsia"/>
                <w:lang w:val="en-US" w:eastAsia="zh-CN"/>
              </w:rPr>
            </w:pPr>
            <w:r>
              <w:rPr>
                <w:rFonts w:hint="eastAsia"/>
                <w:lang w:val="en-US" w:eastAsia="zh-CN"/>
              </w:rPr>
              <w:t xml:space="preserve"> 3-1提供《合格外部供方名单》(二零二一年），共6家，按照：序号、供应商名称、供应产品/服务、联系人、供应商地址、联系方式、备注。</w:t>
            </w:r>
          </w:p>
          <w:p>
            <w:pPr>
              <w:rPr>
                <w:rFonts w:hint="eastAsia"/>
                <w:lang w:val="en-US" w:eastAsia="zh-CN"/>
              </w:rPr>
            </w:pPr>
          </w:p>
          <w:tbl>
            <w:tblPr>
              <w:tblStyle w:val="7"/>
              <w:tblpPr/>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602"/>
              <w:gridCol w:w="1667"/>
              <w:gridCol w:w="874"/>
              <w:gridCol w:w="2171"/>
              <w:gridCol w:w="1367"/>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序号</w:t>
                  </w:r>
                </w:p>
              </w:tc>
              <w:tc>
                <w:tcPr>
                  <w:tcW w:w="2602" w:type="dxa"/>
                  <w:shd w:val="clear" w:color="auto" w:fill="auto"/>
                  <w:noWrap w:val="0"/>
                  <w:vAlign w:val="center"/>
                </w:tcPr>
                <w:p>
                  <w:pPr>
                    <w:ind w:firstLine="420" w:firstLineChars="200"/>
                    <w:jc w:val="both"/>
                    <w:rPr>
                      <w:rFonts w:hint="eastAsia"/>
                      <w:lang w:val="en-US" w:eastAsia="zh-CN"/>
                    </w:rPr>
                  </w:pPr>
                  <w:r>
                    <w:rPr>
                      <w:rFonts w:hint="eastAsia"/>
                      <w:lang w:val="en-US" w:eastAsia="zh-CN"/>
                    </w:rPr>
                    <w:t xml:space="preserve">供应商名称 </w:t>
                  </w:r>
                </w:p>
              </w:tc>
              <w:tc>
                <w:tcPr>
                  <w:tcW w:w="1667" w:type="dxa"/>
                  <w:shd w:val="clear" w:color="auto" w:fill="auto"/>
                  <w:noWrap w:val="0"/>
                  <w:vAlign w:val="center"/>
                </w:tcPr>
                <w:p>
                  <w:pPr>
                    <w:jc w:val="center"/>
                    <w:rPr>
                      <w:rFonts w:hint="eastAsia"/>
                      <w:lang w:val="en-US" w:eastAsia="zh-CN"/>
                    </w:rPr>
                  </w:pPr>
                  <w:r>
                    <w:rPr>
                      <w:rFonts w:hint="eastAsia"/>
                      <w:lang w:val="en-US" w:eastAsia="zh-CN"/>
                    </w:rPr>
                    <w:t xml:space="preserve">供应产品/服务 </w:t>
                  </w:r>
                </w:p>
              </w:tc>
              <w:tc>
                <w:tcPr>
                  <w:tcW w:w="874" w:type="dxa"/>
                  <w:shd w:val="clear" w:color="auto" w:fill="auto"/>
                  <w:noWrap w:val="0"/>
                  <w:vAlign w:val="center"/>
                </w:tcPr>
                <w:p>
                  <w:pPr>
                    <w:jc w:val="center"/>
                    <w:rPr>
                      <w:rFonts w:hint="eastAsia"/>
                      <w:lang w:val="en-US" w:eastAsia="zh-CN"/>
                    </w:rPr>
                  </w:pPr>
                  <w:r>
                    <w:rPr>
                      <w:rFonts w:hint="eastAsia"/>
                      <w:lang w:val="en-US" w:eastAsia="zh-CN"/>
                    </w:rPr>
                    <w:t xml:space="preserve">联系人 </w:t>
                  </w:r>
                </w:p>
              </w:tc>
              <w:tc>
                <w:tcPr>
                  <w:tcW w:w="2171" w:type="dxa"/>
                  <w:shd w:val="clear" w:color="auto" w:fill="auto"/>
                  <w:noWrap w:val="0"/>
                  <w:vAlign w:val="center"/>
                </w:tcPr>
                <w:p>
                  <w:pPr>
                    <w:jc w:val="center"/>
                    <w:rPr>
                      <w:rFonts w:hint="eastAsia"/>
                      <w:lang w:val="en-US" w:eastAsia="zh-CN"/>
                    </w:rPr>
                  </w:pPr>
                  <w:r>
                    <w:rPr>
                      <w:rFonts w:hint="eastAsia"/>
                      <w:lang w:val="en-US" w:eastAsia="zh-CN"/>
                    </w:rPr>
                    <w:t>供应商地址</w:t>
                  </w:r>
                </w:p>
              </w:tc>
              <w:tc>
                <w:tcPr>
                  <w:tcW w:w="1367" w:type="dxa"/>
                  <w:shd w:val="clear" w:color="auto" w:fill="auto"/>
                  <w:noWrap w:val="0"/>
                  <w:vAlign w:val="center"/>
                </w:tcPr>
                <w:p>
                  <w:pPr>
                    <w:jc w:val="center"/>
                    <w:rPr>
                      <w:rFonts w:hint="eastAsia"/>
                      <w:lang w:val="en-US" w:eastAsia="zh-CN"/>
                    </w:rPr>
                  </w:pPr>
                  <w:r>
                    <w:rPr>
                      <w:rFonts w:hint="eastAsia"/>
                      <w:lang w:val="en-US" w:eastAsia="zh-CN"/>
                    </w:rPr>
                    <w:t>联系方式</w:t>
                  </w:r>
                </w:p>
              </w:tc>
              <w:tc>
                <w:tcPr>
                  <w:tcW w:w="724" w:type="dxa"/>
                  <w:shd w:val="clear" w:color="auto" w:fill="auto"/>
                  <w:noWrap w:val="0"/>
                  <w:vAlign w:val="center"/>
                </w:tcPr>
                <w:p>
                  <w:pPr>
                    <w:jc w:val="center"/>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1</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涿鹿金隅水泥有限公司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水泥</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李伟</w:t>
                  </w:r>
                </w:p>
              </w:tc>
              <w:tc>
                <w:tcPr>
                  <w:tcW w:w="2171" w:type="dxa"/>
                  <w:shd w:val="clear" w:color="auto" w:fill="auto"/>
                  <w:noWrap w:val="0"/>
                  <w:vAlign w:val="center"/>
                </w:tcPr>
                <w:p>
                  <w:pPr>
                    <w:widowControl/>
                    <w:jc w:val="center"/>
                    <w:textAlignment w:val="center"/>
                    <w:rPr>
                      <w:lang w:val="en-US" w:eastAsia="zh-CN"/>
                    </w:rPr>
                  </w:pPr>
                  <w:r>
                    <w:rPr>
                      <w:rFonts w:hint="eastAsia"/>
                      <w:lang w:val="en-US" w:eastAsia="zh-CN"/>
                    </w:rPr>
                    <w:t>张家口涿鹿</w:t>
                  </w:r>
                </w:p>
              </w:tc>
              <w:tc>
                <w:tcPr>
                  <w:tcW w:w="13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19801834444</w:t>
                  </w:r>
                </w:p>
              </w:tc>
              <w:tc>
                <w:tcPr>
                  <w:tcW w:w="724" w:type="dxa"/>
                  <w:shd w:val="clear" w:color="auto" w:fill="auto"/>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2</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涞水县县顺合建材有限公司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砂、碎石</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刘建光</w:t>
                  </w:r>
                </w:p>
              </w:tc>
              <w:tc>
                <w:tcPr>
                  <w:tcW w:w="2171" w:type="dxa"/>
                  <w:shd w:val="clear" w:color="auto" w:fill="auto"/>
                  <w:noWrap w:val="0"/>
                  <w:vAlign w:val="center"/>
                </w:tcPr>
                <w:p>
                  <w:pPr>
                    <w:widowControl/>
                    <w:jc w:val="center"/>
                    <w:textAlignment w:val="center"/>
                    <w:rPr>
                      <w:lang w:val="en-US" w:eastAsia="zh-CN"/>
                    </w:rPr>
                  </w:pPr>
                  <w:r>
                    <w:rPr>
                      <w:rFonts w:hint="eastAsia"/>
                      <w:lang w:val="en-US" w:eastAsia="zh-CN"/>
                    </w:rPr>
                    <w:t>涞水</w:t>
                  </w:r>
                </w:p>
              </w:tc>
              <w:tc>
                <w:tcPr>
                  <w:tcW w:w="13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13833208008</w:t>
                  </w:r>
                </w:p>
              </w:tc>
              <w:tc>
                <w:tcPr>
                  <w:tcW w:w="724" w:type="dxa"/>
                  <w:shd w:val="clear" w:color="auto" w:fill="auto"/>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3</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大唐同舟科技有限公司唐山分公司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粉煤灰</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张雨</w:t>
                  </w:r>
                </w:p>
              </w:tc>
              <w:tc>
                <w:tcPr>
                  <w:tcW w:w="2171" w:type="dxa"/>
                  <w:shd w:val="clear" w:color="auto" w:fill="auto"/>
                  <w:noWrap w:val="0"/>
                  <w:vAlign w:val="center"/>
                </w:tcPr>
                <w:p>
                  <w:pPr>
                    <w:widowControl/>
                    <w:jc w:val="center"/>
                    <w:textAlignment w:val="center"/>
                    <w:rPr>
                      <w:lang w:val="en-US" w:eastAsia="zh-CN"/>
                    </w:rPr>
                  </w:pPr>
                  <w:r>
                    <w:rPr>
                      <w:rFonts w:hint="eastAsia"/>
                      <w:lang w:val="en-US" w:eastAsia="zh-CN"/>
                    </w:rPr>
                    <w:t>唐山</w:t>
                  </w:r>
                </w:p>
              </w:tc>
              <w:tc>
                <w:tcPr>
                  <w:tcW w:w="13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15003322200</w:t>
                  </w:r>
                </w:p>
              </w:tc>
              <w:tc>
                <w:tcPr>
                  <w:tcW w:w="724" w:type="dxa"/>
                  <w:shd w:val="clear" w:color="auto" w:fill="auto"/>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4</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包钢冀东水泥有限公司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矿渣粉</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张建</w:t>
                  </w:r>
                </w:p>
              </w:tc>
              <w:tc>
                <w:tcPr>
                  <w:tcW w:w="2171" w:type="dxa"/>
                  <w:shd w:val="clear" w:color="auto" w:fill="auto"/>
                  <w:noWrap w:val="0"/>
                  <w:vAlign w:val="center"/>
                </w:tcPr>
                <w:p>
                  <w:pPr>
                    <w:widowControl/>
                    <w:jc w:val="center"/>
                    <w:textAlignment w:val="center"/>
                    <w:rPr>
                      <w:lang w:val="en-US" w:eastAsia="zh-CN"/>
                    </w:rPr>
                  </w:pPr>
                  <w:r>
                    <w:rPr>
                      <w:rFonts w:hint="eastAsia"/>
                      <w:lang w:val="en-US" w:eastAsia="zh-CN"/>
                    </w:rPr>
                    <w:t>内蒙古</w:t>
                  </w:r>
                </w:p>
              </w:tc>
              <w:tc>
                <w:tcPr>
                  <w:tcW w:w="1367" w:type="dxa"/>
                  <w:shd w:val="clear" w:color="auto" w:fill="auto"/>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lang w:val="en-US" w:eastAsia="zh-CN"/>
                    </w:rPr>
                  </w:pPr>
                  <w:r>
                    <w:rPr>
                      <w:rFonts w:hint="eastAsia"/>
                      <w:lang w:val="en-US" w:eastAsia="zh-CN"/>
                    </w:rPr>
                    <w:t>13397184442</w:t>
                  </w:r>
                </w:p>
              </w:tc>
              <w:tc>
                <w:tcPr>
                  <w:tcW w:w="724" w:type="dxa"/>
                  <w:shd w:val="clear" w:color="auto" w:fill="auto"/>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5</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河北亚上新材料有限公司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外加剂</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耿永乐</w:t>
                  </w:r>
                </w:p>
              </w:tc>
              <w:tc>
                <w:tcPr>
                  <w:tcW w:w="2171"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保定市高碑店</w:t>
                  </w:r>
                </w:p>
              </w:tc>
              <w:tc>
                <w:tcPr>
                  <w:tcW w:w="13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13722210818</w:t>
                  </w:r>
                </w:p>
              </w:tc>
              <w:tc>
                <w:tcPr>
                  <w:tcW w:w="724" w:type="dxa"/>
                  <w:shd w:val="clear" w:color="auto" w:fill="auto"/>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570" w:type="dxa"/>
                  <w:shd w:val="clear" w:color="auto" w:fill="auto"/>
                  <w:noWrap w:val="0"/>
                  <w:vAlign w:val="center"/>
                </w:tcPr>
                <w:p>
                  <w:pPr>
                    <w:jc w:val="center"/>
                    <w:rPr>
                      <w:rFonts w:hint="eastAsia"/>
                      <w:lang w:val="en-US" w:eastAsia="zh-CN"/>
                    </w:rPr>
                  </w:pPr>
                  <w:r>
                    <w:rPr>
                      <w:rFonts w:hint="eastAsia"/>
                      <w:lang w:val="en-US" w:eastAsia="zh-CN"/>
                    </w:rPr>
                    <w:t>6</w:t>
                  </w:r>
                </w:p>
              </w:tc>
              <w:tc>
                <w:tcPr>
                  <w:tcW w:w="2602"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定兴县戎马运输服务有限公司</w:t>
                  </w:r>
                </w:p>
              </w:tc>
              <w:tc>
                <w:tcPr>
                  <w:tcW w:w="16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商品混凝土运输</w:t>
                  </w:r>
                </w:p>
              </w:tc>
              <w:tc>
                <w:tcPr>
                  <w:tcW w:w="874"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王爽</w:t>
                  </w:r>
                </w:p>
              </w:tc>
              <w:tc>
                <w:tcPr>
                  <w:tcW w:w="2171" w:type="dxa"/>
                  <w:shd w:val="clear" w:color="auto" w:fill="auto"/>
                  <w:noWrap w:val="0"/>
                  <w:vAlign w:val="center"/>
                </w:tcPr>
                <w:p>
                  <w:pPr>
                    <w:widowControl/>
                    <w:jc w:val="center"/>
                    <w:textAlignment w:val="center"/>
                    <w:rPr>
                      <w:rFonts w:hint="eastAsia"/>
                      <w:lang w:val="en-US" w:eastAsia="zh-CN"/>
                    </w:rPr>
                  </w:pPr>
                  <w:r>
                    <w:rPr>
                      <w:rFonts w:hint="eastAsia"/>
                      <w:lang w:val="en-US" w:eastAsia="zh-CN"/>
                    </w:rPr>
                    <w:t>定兴县肖村乡九汲村村南</w:t>
                  </w:r>
                </w:p>
              </w:tc>
              <w:tc>
                <w:tcPr>
                  <w:tcW w:w="136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center"/>
                    <w:rPr>
                      <w:rFonts w:hint="eastAsia"/>
                      <w:lang w:val="en-US" w:eastAsia="zh-CN"/>
                    </w:rPr>
                  </w:pPr>
                  <w:r>
                    <w:rPr>
                      <w:rFonts w:hint="eastAsia"/>
                      <w:lang w:val="en-US" w:eastAsia="zh-CN"/>
                    </w:rPr>
                    <w:t>15033844555</w:t>
                  </w:r>
                </w:p>
              </w:tc>
              <w:tc>
                <w:tcPr>
                  <w:tcW w:w="724" w:type="dxa"/>
                  <w:shd w:val="clear" w:color="auto" w:fill="auto"/>
                  <w:noWrap w:val="0"/>
                  <w:vAlign w:val="center"/>
                </w:tcPr>
                <w:p>
                  <w:pPr>
                    <w:jc w:val="center"/>
                    <w:rPr>
                      <w:rFonts w:hint="eastAsia"/>
                      <w:lang w:val="en-US" w:eastAsia="zh-CN"/>
                    </w:rPr>
                  </w:pPr>
                </w:p>
              </w:tc>
            </w:tr>
          </w:tbl>
          <w:p>
            <w:pPr>
              <w:pStyle w:val="6"/>
              <w:rPr>
                <w:rFonts w:hint="eastAsia"/>
                <w:lang w:val="en-US" w:eastAsia="zh-CN"/>
              </w:rPr>
            </w:pPr>
          </w:p>
          <w:p>
            <w:pPr>
              <w:pStyle w:val="6"/>
              <w:rPr>
                <w:rFonts w:hint="eastAsia"/>
                <w:lang w:val="en-US" w:eastAsia="zh-CN"/>
              </w:rPr>
            </w:pPr>
            <w:r>
              <w:rPr>
                <w:rFonts w:hint="eastAsia"/>
                <w:lang w:val="en-US" w:eastAsia="zh-CN"/>
              </w:rPr>
              <w:t>3-2 抽查一家《外部供方评价表》</w:t>
            </w:r>
          </w:p>
          <w:p>
            <w:pPr>
              <w:pStyle w:val="6"/>
              <w:ind w:left="0" w:leftChars="0" w:firstLine="0" w:firstLineChars="0"/>
              <w:rPr>
                <w:rFonts w:hint="eastAsia"/>
                <w:lang w:val="en-US" w:eastAsia="zh-CN"/>
              </w:rPr>
            </w:pPr>
          </w:p>
          <w:tbl>
            <w:tblPr>
              <w:tblStyle w:val="19"/>
              <w:tblp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2887"/>
              <w:gridCol w:w="1057"/>
              <w:gridCol w:w="1095"/>
              <w:gridCol w:w="190"/>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供方名称</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ascii="宋体" w:hAnsi="宋体" w:cs="宋体"/>
                      <w:b/>
                      <w:bCs/>
                      <w:color w:val="auto"/>
                      <w:kern w:val="0"/>
                      <w:sz w:val="21"/>
                      <w:szCs w:val="21"/>
                      <w:lang w:val="en-US" w:eastAsia="zh-CN" w:bidi="ar"/>
                    </w:rPr>
                    <w:t>涿鹿金隅水泥有限公司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联系人</w:t>
                  </w:r>
                </w:p>
              </w:tc>
              <w:tc>
                <w:tcPr>
                  <w:tcW w:w="2887"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ascii="宋体" w:hAnsi="宋体" w:cs="宋体"/>
                      <w:b/>
                      <w:bCs/>
                      <w:color w:val="auto"/>
                      <w:kern w:val="0"/>
                      <w:sz w:val="21"/>
                      <w:szCs w:val="21"/>
                      <w:lang w:val="en-US" w:eastAsia="zh-CN" w:bidi="ar"/>
                    </w:rPr>
                    <w:t>李伟</w:t>
                  </w:r>
                </w:p>
              </w:tc>
              <w:tc>
                <w:tcPr>
                  <w:tcW w:w="2152"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联系方式</w:t>
                  </w:r>
                </w:p>
              </w:tc>
              <w:tc>
                <w:tcPr>
                  <w:tcW w:w="1516"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ascii="宋体" w:hAnsi="宋体" w:cs="宋体"/>
                      <w:b/>
                      <w:bCs/>
                      <w:color w:val="auto"/>
                      <w:kern w:val="0"/>
                      <w:sz w:val="21"/>
                      <w:szCs w:val="21"/>
                      <w:lang w:val="en-US" w:eastAsia="zh-CN" w:bidi="ar"/>
                    </w:rPr>
                    <w:t>19801834444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提供的产品/服务/设备</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left"/>
                    <w:rPr>
                      <w:rFonts w:hint="eastAsia"/>
                      <w:color w:val="auto"/>
                      <w:sz w:val="21"/>
                      <w:szCs w:val="21"/>
                      <w:lang w:val="en-US" w:eastAsia="zh-CN"/>
                    </w:rPr>
                  </w:pPr>
                  <w:r>
                    <w:rPr>
                      <w:rFonts w:hint="eastAsia"/>
                      <w:b/>
                      <w:bCs/>
                      <w:color w:val="auto"/>
                      <w:sz w:val="21"/>
                      <w:szCs w:val="21"/>
                      <w:lang w:val="en-US" w:eastAsia="zh-CN"/>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企业注册信息</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left"/>
                    <w:rPr>
                      <w:rFonts w:hint="eastAsia"/>
                      <w:color w:val="auto"/>
                      <w:sz w:val="21"/>
                      <w:szCs w:val="21"/>
                      <w:lang w:val="en-US" w:eastAsia="zh-CN"/>
                    </w:rPr>
                  </w:pPr>
                  <w:r>
                    <w:rPr>
                      <w:rFonts w:hint="eastAsia"/>
                      <w:color w:val="auto"/>
                      <w:sz w:val="21"/>
                      <w:szCs w:val="21"/>
                      <w:lang w:val="en-US" w:eastAsia="zh-CN"/>
                    </w:rPr>
                    <w:t>通过网上查询企业基本信息正常，未发现存在异常信息；</w:t>
                  </w:r>
                </w:p>
                <w:p>
                  <w:pPr>
                    <w:pStyle w:val="18"/>
                    <w:pBdr>
                      <w:top w:val="none" w:color="auto" w:sz="0" w:space="0"/>
                      <w:left w:val="none" w:color="auto" w:sz="0" w:space="0"/>
                      <w:bottom w:val="none" w:color="auto" w:sz="0" w:space="0"/>
                      <w:right w:val="none" w:color="auto" w:sz="0" w:space="0"/>
                    </w:pBdr>
                    <w:jc w:val="left"/>
                    <w:rPr>
                      <w:rFonts w:hint="eastAsia"/>
                      <w:color w:val="auto"/>
                      <w:sz w:val="21"/>
                      <w:szCs w:val="21"/>
                      <w:lang w:val="en-US" w:eastAsia="zh-CN"/>
                    </w:rPr>
                  </w:pPr>
                  <w:r>
                    <w:rPr>
                      <w:rFonts w:hint="eastAsia"/>
                      <w:color w:val="auto"/>
                      <w:sz w:val="21"/>
                      <w:szCs w:val="21"/>
                      <w:lang w:val="en-US" w:eastAsia="zh-CN"/>
                    </w:rPr>
                    <w:t>核验公司营业执照等有关资质证件，均在有效期内，经营范围符合实际情况；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经营状况</w:t>
                  </w:r>
                </w:p>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信誉状况</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left"/>
                    <w:rPr>
                      <w:rFonts w:hint="eastAsia"/>
                      <w:color w:val="auto"/>
                      <w:sz w:val="21"/>
                      <w:szCs w:val="21"/>
                      <w:lang w:val="en-US" w:eastAsia="zh-CN"/>
                    </w:rPr>
                  </w:pPr>
                  <w:r>
                    <w:rPr>
                      <w:rFonts w:hint="eastAsia"/>
                      <w:color w:val="auto"/>
                      <w:sz w:val="21"/>
                      <w:szCs w:val="21"/>
                      <w:lang w:val="en-US" w:eastAsia="zh-CN"/>
                    </w:rPr>
                    <w:t>公信查询无经营异常，信誉良好。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产品/服务质量及质量保证能力</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left"/>
                    <w:rPr>
                      <w:rFonts w:hint="eastAsia"/>
                      <w:color w:val="auto"/>
                      <w:sz w:val="21"/>
                      <w:szCs w:val="21"/>
                      <w:lang w:val="en-US" w:eastAsia="zh-CN"/>
                    </w:rPr>
                  </w:pPr>
                  <w:r>
                    <w:rPr>
                      <w:rFonts w:hint="eastAsia"/>
                      <w:color w:val="auto"/>
                      <w:sz w:val="21"/>
                      <w:szCs w:val="21"/>
                      <w:lang w:val="en-US" w:eastAsia="zh-CN"/>
                    </w:rPr>
                    <w:t>产品/服务/设备质量稳定，供货周期合理/服务能力良好；</w:t>
                  </w:r>
                </w:p>
                <w:p>
                  <w:pPr>
                    <w:pStyle w:val="18"/>
                    <w:pBdr>
                      <w:top w:val="none" w:color="auto" w:sz="0" w:space="0"/>
                      <w:left w:val="none" w:color="auto" w:sz="0" w:space="0"/>
                      <w:bottom w:val="none" w:color="auto" w:sz="0" w:space="0"/>
                      <w:right w:val="none" w:color="auto" w:sz="0" w:space="0"/>
                    </w:pBdr>
                    <w:jc w:val="left"/>
                    <w:rPr>
                      <w:color w:val="auto"/>
                      <w:sz w:val="21"/>
                      <w:szCs w:val="21"/>
                      <w:lang w:val="en-US" w:eastAsia="zh-CN"/>
                    </w:rPr>
                  </w:pPr>
                  <w:r>
                    <w:rPr>
                      <w:rFonts w:hint="eastAsia"/>
                      <w:color w:val="auto"/>
                      <w:sz w:val="21"/>
                      <w:szCs w:val="21"/>
                      <w:lang w:val="en-US" w:eastAsia="zh-CN"/>
                    </w:rPr>
                    <w:t>业绩状况良好。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产品/服务价格</w:t>
                  </w:r>
                </w:p>
              </w:tc>
              <w:tc>
                <w:tcPr>
                  <w:tcW w:w="6555" w:type="dxa"/>
                  <w:gridSpan w:val="5"/>
                  <w:tcBorders>
                    <w:tl2br w:val="nil"/>
                    <w:tr2bl w:val="nil"/>
                  </w:tcBorders>
                  <w:shd w:val="clear" w:color="auto" w:fill="auto"/>
                  <w:noWrap w:val="0"/>
                  <w:vAlign w:val="bottom"/>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color w:val="auto"/>
                      <w:sz w:val="21"/>
                      <w:szCs w:val="21"/>
                      <w:lang w:val="en-US" w:eastAsia="zh-CN"/>
                    </w:rPr>
                    <w:t>产品/服务价格适宜，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售后服务</w:t>
                  </w:r>
                </w:p>
              </w:tc>
              <w:tc>
                <w:tcPr>
                  <w:tcW w:w="6555" w:type="dxa"/>
                  <w:gridSpan w:val="5"/>
                  <w:tcBorders>
                    <w:tl2br w:val="nil"/>
                    <w:tr2bl w:val="nil"/>
                  </w:tcBorders>
                  <w:shd w:val="clear" w:color="auto" w:fill="auto"/>
                  <w:noWrap w:val="0"/>
                  <w:vAlign w:val="bottom"/>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color w:val="auto"/>
                      <w:sz w:val="21"/>
                      <w:szCs w:val="21"/>
                      <w:lang w:val="en-US" w:eastAsia="zh-CN"/>
                    </w:rPr>
                    <w:t>售后服务情况良好。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评价结论</w:t>
                  </w:r>
                </w:p>
              </w:tc>
              <w:tc>
                <w:tcPr>
                  <w:tcW w:w="6555" w:type="dxa"/>
                  <w:gridSpan w:val="5"/>
                  <w:tcBorders>
                    <w:tl2br w:val="nil"/>
                    <w:tr2bl w:val="nil"/>
                  </w:tcBorders>
                  <w:shd w:val="clear" w:color="auto" w:fill="auto"/>
                  <w:noWrap w:val="0"/>
                  <w:vAlign w:val="bottom"/>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color w:val="auto"/>
                      <w:sz w:val="21"/>
                      <w:szCs w:val="21"/>
                      <w:lang w:val="en-US" w:eastAsia="zh-CN"/>
                    </w:rPr>
                    <w:t xml:space="preserve">建议纳入合格外部供方目录                 </w:t>
                  </w:r>
                </w:p>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参加评价人员</w:t>
                  </w:r>
                </w:p>
              </w:tc>
              <w:tc>
                <w:tcPr>
                  <w:tcW w:w="3944"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b/>
                      <w:bCs/>
                      <w:color w:val="auto"/>
                      <w:sz w:val="21"/>
                      <w:szCs w:val="21"/>
                      <w:lang w:val="en-US" w:eastAsia="zh-CN"/>
                    </w:rPr>
                  </w:pPr>
                  <w:r>
                    <w:rPr>
                      <w:rFonts w:hint="eastAsia"/>
                      <w:b/>
                      <w:bCs/>
                      <w:color w:val="auto"/>
                      <w:sz w:val="21"/>
                      <w:szCs w:val="21"/>
                      <w:lang w:val="en-US" w:eastAsia="zh-CN"/>
                    </w:rPr>
                    <w:t xml:space="preserve">朱如华  张义德  邸彦辉  张虎林  李垚  李国平  </w:t>
                  </w:r>
                </w:p>
              </w:tc>
              <w:tc>
                <w:tcPr>
                  <w:tcW w:w="1285"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color w:val="auto"/>
                      <w:sz w:val="21"/>
                      <w:szCs w:val="21"/>
                      <w:lang w:val="en-US" w:eastAsia="zh-CN"/>
                    </w:rPr>
                    <w:t>评价日期</w:t>
                  </w:r>
                </w:p>
              </w:tc>
              <w:tc>
                <w:tcPr>
                  <w:tcW w:w="1326"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eastAsia="宋体"/>
                      <w:color w:val="auto"/>
                      <w:sz w:val="18"/>
                      <w:szCs w:val="18"/>
                      <w:lang w:val="en-US" w:eastAsia="zh-CN"/>
                    </w:rPr>
                  </w:pPr>
                  <w:r>
                    <w:rPr>
                      <w:rFonts w:hint="eastAsia"/>
                      <w:b/>
                      <w:bCs/>
                      <w:color w:val="auto"/>
                      <w:sz w:val="24"/>
                      <w:lang w:val="en-US" w:eastAsia="zh-CN"/>
                    </w:rPr>
                    <w:t>2021/6/10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审批意见</w:t>
                  </w:r>
                </w:p>
              </w:tc>
              <w:tc>
                <w:tcPr>
                  <w:tcW w:w="6555" w:type="dxa"/>
                  <w:gridSpan w:val="5"/>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color w:val="auto"/>
                      <w:sz w:val="21"/>
                      <w:szCs w:val="21"/>
                      <w:lang w:val="en-US" w:eastAsia="zh-CN"/>
                    </w:rPr>
                  </w:pPr>
                  <w:r>
                    <w:rPr>
                      <w:rFonts w:hint="eastAsia"/>
                      <w:color w:val="auto"/>
                      <w:sz w:val="21"/>
                      <w:szCs w:val="21"/>
                      <w:lang w:val="en-US" w:eastAsia="zh-CN"/>
                    </w:rPr>
                    <w:t xml:space="preserve">     同意作为合格外部供方 </w:t>
                  </w:r>
                </w:p>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4"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批准人</w:t>
                  </w:r>
                </w:p>
              </w:tc>
              <w:tc>
                <w:tcPr>
                  <w:tcW w:w="3944"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color w:val="auto"/>
                      <w:sz w:val="21"/>
                      <w:szCs w:val="21"/>
                      <w:lang w:val="en-US" w:eastAsia="zh-CN"/>
                    </w:rPr>
                  </w:pPr>
                  <w:r>
                    <w:rPr>
                      <w:rFonts w:hint="eastAsia"/>
                      <w:color w:val="auto"/>
                      <w:sz w:val="21"/>
                      <w:szCs w:val="21"/>
                      <w:lang w:val="en-US" w:eastAsia="zh-CN"/>
                    </w:rPr>
                    <w:t xml:space="preserve">     </w:t>
                  </w:r>
                  <w:r>
                    <w:rPr>
                      <w:rFonts w:hint="eastAsia"/>
                      <w:b/>
                      <w:bCs/>
                      <w:color w:val="auto"/>
                      <w:sz w:val="21"/>
                      <w:szCs w:val="21"/>
                      <w:lang w:val="en-US" w:eastAsia="zh-CN"/>
                    </w:rPr>
                    <w:t xml:space="preserve"> 冯振合</w:t>
                  </w:r>
                </w:p>
              </w:tc>
              <w:tc>
                <w:tcPr>
                  <w:tcW w:w="1285" w:type="dxa"/>
                  <w:gridSpan w:val="2"/>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center"/>
                    <w:rPr>
                      <w:rFonts w:hint="eastAsia"/>
                      <w:color w:val="auto"/>
                      <w:sz w:val="21"/>
                      <w:szCs w:val="21"/>
                      <w:lang w:val="en-US" w:eastAsia="zh-CN"/>
                    </w:rPr>
                  </w:pPr>
                  <w:r>
                    <w:rPr>
                      <w:rFonts w:hint="eastAsia"/>
                      <w:color w:val="auto"/>
                      <w:sz w:val="21"/>
                      <w:szCs w:val="21"/>
                      <w:lang w:val="en-US" w:eastAsia="zh-CN"/>
                    </w:rPr>
                    <w:t>批准日期</w:t>
                  </w:r>
                </w:p>
              </w:tc>
              <w:tc>
                <w:tcPr>
                  <w:tcW w:w="1326" w:type="dxa"/>
                  <w:tcBorders>
                    <w:tl2br w:val="nil"/>
                    <w:tr2bl w:val="nil"/>
                  </w:tcBorders>
                  <w:shd w:val="clear" w:color="auto" w:fill="auto"/>
                  <w:noWrap w:val="0"/>
                  <w:vAlign w:val="center"/>
                </w:tcPr>
                <w:p>
                  <w:pPr>
                    <w:pStyle w:val="18"/>
                    <w:pBdr>
                      <w:top w:val="none" w:color="auto" w:sz="0" w:space="0"/>
                      <w:left w:val="none" w:color="auto" w:sz="0" w:space="0"/>
                      <w:bottom w:val="none" w:color="auto" w:sz="0" w:space="0"/>
                      <w:right w:val="none" w:color="auto" w:sz="0" w:space="0"/>
                    </w:pBdr>
                    <w:jc w:val="both"/>
                    <w:rPr>
                      <w:rFonts w:hint="eastAsia" w:eastAsia="宋体"/>
                      <w:color w:val="auto"/>
                      <w:sz w:val="18"/>
                      <w:szCs w:val="18"/>
                      <w:lang w:val="en-US" w:eastAsia="zh-CN"/>
                    </w:rPr>
                  </w:pPr>
                  <w:r>
                    <w:rPr>
                      <w:rFonts w:hint="eastAsia"/>
                      <w:b/>
                      <w:bCs/>
                      <w:color w:val="auto"/>
                      <w:sz w:val="24"/>
                      <w:lang w:val="en-US" w:eastAsia="zh-CN"/>
                    </w:rPr>
                    <w:t>2021/6/10</w:t>
                  </w:r>
                </w:p>
              </w:tc>
            </w:tr>
          </w:tbl>
          <w:p>
            <w:pPr>
              <w:rPr>
                <w:rFonts w:hint="default"/>
                <w:lang w:val="en-US" w:eastAsia="zh-CN"/>
              </w:rPr>
            </w:pPr>
            <w:r>
              <w:rPr>
                <w:rFonts w:hint="eastAsia"/>
                <w:lang w:val="en-US" w:eastAsia="zh-CN"/>
              </w:rPr>
              <w:t xml:space="preserve">     基本符合文件要求和标准规范。</w:t>
            </w:r>
          </w:p>
          <w:p>
            <w:pPr>
              <w:pStyle w:val="6"/>
              <w:rPr>
                <w:rFonts w:hint="default"/>
                <w:lang w:val="en-US" w:eastAsia="zh-CN"/>
              </w:rPr>
            </w:pP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bl>
    <w:p>
      <w:pPr>
        <w:pStyle w:val="4"/>
      </w:pPr>
      <w:r>
        <w:rPr>
          <w:rFonts w:hint="eastAsia"/>
        </w:rPr>
        <w:t>说明：不符合标注N</w:t>
      </w:r>
    </w:p>
    <w:p>
      <w:pPr>
        <w:pStyle w:val="4"/>
        <w:rPr>
          <w:rFonts w:hint="eastAsia"/>
        </w:rPr>
      </w:pPr>
    </w:p>
    <w:p>
      <w:pPr>
        <w:pStyle w:val="4"/>
        <w:rPr>
          <w:rFonts w:hint="eastAsia"/>
        </w:rPr>
      </w:pPr>
    </w:p>
    <w:p>
      <w:pPr>
        <w:pStyle w:val="4"/>
        <w:rPr>
          <w:rFonts w:hint="eastAsia"/>
        </w:rPr>
      </w:pPr>
    </w:p>
    <w:p>
      <w:pPr>
        <w:pStyle w:val="4"/>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过程与活动、</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抽样计划</w:t>
            </w:r>
          </w:p>
        </w:tc>
        <w:tc>
          <w:tcPr>
            <w:tcW w:w="960"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涉及</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条款</w:t>
            </w:r>
          </w:p>
        </w:tc>
        <w:tc>
          <w:tcPr>
            <w:tcW w:w="10376" w:type="dxa"/>
            <w:vAlign w:val="center"/>
          </w:tcPr>
          <w:p>
            <w:pP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受审核部门：</w:t>
            </w:r>
            <w:r>
              <w:rPr>
                <w:rFonts w:hint="eastAsia"/>
                <w:color w:val="000000" w:themeColor="text1"/>
                <w:sz w:val="24"/>
                <w:szCs w:val="24"/>
                <w:lang w:val="en-US" w:eastAsia="zh-CN"/>
                <w14:textFill>
                  <w14:solidFill>
                    <w14:schemeClr w14:val="tx1"/>
                  </w14:solidFill>
                </w14:textFill>
              </w:rPr>
              <w:t>技术部</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主管领导：</w:t>
            </w:r>
            <w:r>
              <w:rPr>
                <w:rFonts w:hint="eastAsia"/>
                <w:color w:val="000000" w:themeColor="text1"/>
                <w:sz w:val="24"/>
                <w:szCs w:val="24"/>
                <w:lang w:val="en-US" w:eastAsia="zh-CN"/>
                <w14:textFill>
                  <w14:solidFill>
                    <w14:schemeClr w14:val="tx1"/>
                  </w14:solidFill>
                </w14:textFill>
              </w:rPr>
              <w:t xml:space="preserve">邸彦辉 </w:t>
            </w:r>
            <w:r>
              <w:rPr>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Cs w:val="22"/>
                <w:lang w:val="en-US" w:eastAsia="zh-CN"/>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 xml:space="preserve"> 陪同人员： 李旭哲</w:t>
            </w:r>
          </w:p>
        </w:tc>
        <w:tc>
          <w:tcPr>
            <w:tcW w:w="1213"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376" w:type="dxa"/>
            <w:vAlign w:val="center"/>
          </w:tcPr>
          <w:p>
            <w:pPr>
              <w:snapToGrid w:val="0"/>
              <w:spacing w:line="280" w:lineRule="exact"/>
              <w:jc w:val="both"/>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审核员：</w:t>
            </w:r>
            <w:r>
              <w:rPr>
                <w:rFonts w:hint="eastAsia"/>
                <w:color w:val="000000" w:themeColor="text1"/>
                <w:sz w:val="24"/>
                <w:szCs w:val="24"/>
                <w:lang w:val="en-US" w:eastAsia="zh-CN"/>
                <w14:textFill>
                  <w14:solidFill>
                    <w14:schemeClr w14:val="tx1"/>
                  </w14:solidFill>
                </w14:textFill>
              </w:rPr>
              <w:t>王宁敏  孔祥春</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审核时间：</w:t>
            </w:r>
            <w:r>
              <w:rPr>
                <w:rFonts w:hint="eastAsia"/>
                <w:color w:val="000000" w:themeColor="text1"/>
                <w:sz w:val="24"/>
                <w:szCs w:val="24"/>
                <w:lang w:val="en-US" w:eastAsia="zh-CN"/>
                <w14:textFill>
                  <w14:solidFill>
                    <w14:schemeClr w14:val="tx1"/>
                  </w14:solidFill>
                </w14:textFill>
              </w:rPr>
              <w:t>2021-11-20  10:00-12:00</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376" w:type="dxa"/>
            <w:vAlign w:val="center"/>
          </w:tcPr>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审核条款：5.3/技术部的岗位、职责和权限；6.2/目标、能源指标及完成情况；7.4/8.1/6.6</w:t>
            </w:r>
            <w:r>
              <w:rPr>
                <w:rFonts w:hint="eastAsia"/>
                <w:color w:val="000000" w:themeColor="text1"/>
                <w:sz w:val="24"/>
                <w:szCs w:val="24"/>
                <w:lang w:val="en-US" w:eastAsia="zh-CN"/>
                <w14:textFill>
                  <w14:solidFill>
                    <w14:schemeClr w14:val="tx1"/>
                  </w14:solidFill>
                </w14:textFill>
              </w:rPr>
              <w:t>信息交流/运行控制/</w:t>
            </w:r>
            <w:r>
              <w:rPr>
                <w:rFonts w:hint="eastAsia"/>
                <w:color w:val="000000" w:themeColor="text1"/>
                <w:sz w:val="24"/>
                <w:szCs w:val="24"/>
                <w14:textFill>
                  <w14:solidFill>
                    <w14:schemeClr w14:val="tx1"/>
                  </w14:solidFill>
                </w14:textFill>
              </w:rPr>
              <w:t>计量检定控制</w:t>
            </w:r>
            <w:r>
              <w:rPr>
                <w:rFonts w:hint="eastAsia"/>
                <w:color w:val="000000" w:themeColor="text1"/>
                <w:sz w:val="24"/>
                <w:szCs w:val="24"/>
                <w:lang w:eastAsia="zh-CN"/>
                <w14:textFill>
                  <w14:solidFill>
                    <w14:schemeClr w14:val="tx1"/>
                  </w14:solidFill>
                </w14:textFill>
              </w:rPr>
              <w:t>。</w:t>
            </w:r>
          </w:p>
        </w:tc>
        <w:tc>
          <w:tcPr>
            <w:tcW w:w="1213"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2160" w:type="dxa"/>
          </w:tcPr>
          <w:p>
            <w:pPr>
              <w:ind w:firstLine="420" w:firstLineChars="200"/>
              <w:rPr>
                <w:rFonts w:hint="eastAsia"/>
                <w:szCs w:val="22"/>
                <w:lang w:val="en-US" w:eastAsia="zh-CN"/>
              </w:rPr>
            </w:pPr>
            <w:r>
              <w:rPr>
                <w:rFonts w:hint="eastAsia"/>
                <w:szCs w:val="22"/>
                <w:lang w:val="en-US" w:eastAsia="zh-CN"/>
              </w:rPr>
              <w:t>1.组织的岗位、职责和权限，</w:t>
            </w:r>
          </w:p>
          <w:p>
            <w:pPr>
              <w:ind w:firstLine="420" w:firstLineChars="200"/>
              <w:rPr>
                <w:rFonts w:hint="eastAsia"/>
                <w:szCs w:val="22"/>
                <w:lang w:val="en-US" w:eastAsia="zh-CN"/>
              </w:rPr>
            </w:pPr>
            <w:r>
              <w:rPr>
                <w:rFonts w:hint="eastAsia"/>
                <w:szCs w:val="22"/>
                <w:lang w:val="en-US" w:eastAsia="zh-CN"/>
              </w:rPr>
              <w:t>2.目标、能源指及其实现的策划</w:t>
            </w:r>
          </w:p>
        </w:tc>
        <w:tc>
          <w:tcPr>
            <w:tcW w:w="960" w:type="dxa"/>
          </w:tcPr>
          <w:p>
            <w:pPr>
              <w:ind w:firstLine="420" w:firstLineChars="200"/>
              <w:rPr>
                <w:rFonts w:hint="eastAsia"/>
                <w:szCs w:val="22"/>
                <w:lang w:val="en-US" w:eastAsia="zh-CN"/>
              </w:rPr>
            </w:pPr>
            <w:r>
              <w:rPr>
                <w:rFonts w:hint="eastAsia"/>
                <w:szCs w:val="22"/>
                <w:lang w:val="en-US" w:eastAsia="zh-CN"/>
              </w:rPr>
              <w:t>5.3/6.2</w:t>
            </w:r>
          </w:p>
        </w:tc>
        <w:tc>
          <w:tcPr>
            <w:tcW w:w="10376" w:type="dxa"/>
          </w:tcPr>
          <w:p>
            <w:pPr>
              <w:ind w:firstLine="420" w:firstLineChars="200"/>
              <w:rPr>
                <w:rFonts w:hint="default"/>
                <w:szCs w:val="22"/>
                <w:lang w:val="en-US" w:eastAsia="zh-CN"/>
              </w:rPr>
            </w:pPr>
            <w:r>
              <w:rPr>
                <w:rFonts w:hint="eastAsia"/>
                <w:szCs w:val="22"/>
                <w:lang w:val="en-US" w:eastAsia="zh-CN"/>
              </w:rPr>
              <w:t xml:space="preserve">    1、供应部：主管领导：邸彦辉，岗位设置：部长：1人，共 6 人。</w:t>
            </w:r>
          </w:p>
          <w:p>
            <w:pPr>
              <w:ind w:firstLine="420" w:firstLineChars="200"/>
              <w:rPr>
                <w:rFonts w:hint="eastAsia"/>
                <w:szCs w:val="22"/>
                <w:lang w:val="en-US" w:eastAsia="zh-CN"/>
              </w:rPr>
            </w:pPr>
            <w:r>
              <w:rPr>
                <w:rFonts w:hint="eastAsia"/>
                <w:szCs w:val="22"/>
                <w:lang w:val="en-US" w:eastAsia="zh-CN"/>
              </w:rPr>
              <w:t>提供：《主要岗位任职要求</w:t>
            </w:r>
            <w:r>
              <w:rPr>
                <w:rFonts w:hint="eastAsia"/>
                <w:szCs w:val="22"/>
                <w:lang w:val="en-US" w:eastAsia="zh-CN"/>
              </w:rPr>
              <w:tab/>
            </w:r>
            <w:r>
              <w:rPr>
                <w:rFonts w:hint="eastAsia"/>
                <w:szCs w:val="22"/>
                <w:lang w:val="en-US" w:eastAsia="zh-CN"/>
              </w:rPr>
              <w:t>YJ-ZD01-2021》、《主要岗位人员职责</w:t>
            </w:r>
            <w:r>
              <w:rPr>
                <w:rFonts w:hint="eastAsia"/>
                <w:szCs w:val="22"/>
                <w:lang w:val="en-US" w:eastAsia="zh-CN"/>
              </w:rPr>
              <w:tab/>
            </w:r>
            <w:r>
              <w:rPr>
                <w:rFonts w:hint="eastAsia"/>
                <w:szCs w:val="22"/>
                <w:lang w:val="en-US" w:eastAsia="zh-CN"/>
              </w:rPr>
              <w:t>YJ-ZD02-2021》。</w:t>
            </w:r>
          </w:p>
          <w:p>
            <w:pPr>
              <w:ind w:firstLine="420" w:firstLineChars="200"/>
              <w:rPr>
                <w:rFonts w:hint="eastAsia"/>
                <w:szCs w:val="22"/>
                <w:lang w:val="en-US" w:eastAsia="zh-CN"/>
              </w:rPr>
            </w:pPr>
            <w:r>
              <w:rPr>
                <w:rFonts w:hint="eastAsia"/>
                <w:szCs w:val="22"/>
                <w:lang w:val="en-US" w:eastAsia="zh-CN"/>
              </w:rPr>
              <w:t>部门职责：监控原材料验收与混凝土生产，预防潜在质量影响因素，为搅拌站生产、现场服务提供技术支撑。 1、对进厂原材料进行监测。 2、对混凝土生产、输送全过程进行质量监控。 3、在满足质量要求的条件下，结合工程特点，最大限度的优化混凝土施工配合比，降低单方混凝土的主材成本。 4、出具混凝土开盘资料。 5、组织进行混凝土施工技术指导与技术回访。 6、负责对不合格产品的处置提供技术支持和实施指导。 7、负责试验室仪器设备、称量、计量系统的校核管理与控制工作。 8、参与搅拌工艺和工艺参数的改进。 9、沟通协调站内外部门、机构间工作与关系。 10、完成分公司技术部下达的科研开发计划，科研新成果应用计划。</w:t>
            </w:r>
          </w:p>
          <w:p>
            <w:pPr>
              <w:ind w:firstLine="420" w:firstLineChars="200"/>
              <w:rPr>
                <w:rFonts w:hint="default"/>
                <w:szCs w:val="22"/>
                <w:lang w:val="en-US" w:eastAsia="zh-CN"/>
              </w:rPr>
            </w:pPr>
            <w:r>
              <w:rPr>
                <w:rFonts w:hint="eastAsia"/>
                <w:szCs w:val="22"/>
                <w:lang w:val="en-US" w:eastAsia="zh-CN"/>
              </w:rPr>
              <w:t>2、部门QESEn目标指标：</w:t>
            </w:r>
          </w:p>
          <w:p>
            <w:pPr>
              <w:ind w:firstLine="420" w:firstLineChars="200"/>
              <w:rPr>
                <w:rFonts w:hint="eastAsia"/>
                <w:szCs w:val="22"/>
                <w:lang w:val="en-US" w:eastAsia="zh-CN"/>
              </w:rPr>
            </w:pPr>
            <w:r>
              <w:rPr>
                <w:rFonts w:hint="eastAsia"/>
                <w:szCs w:val="22"/>
                <w:lang w:val="en-US" w:eastAsia="zh-CN"/>
              </w:rPr>
              <w:t xml:space="preserve">办公固废分类收集率100%； </w:t>
            </w:r>
          </w:p>
          <w:p>
            <w:pPr>
              <w:ind w:firstLine="420" w:firstLineChars="200"/>
              <w:rPr>
                <w:rFonts w:hint="eastAsia"/>
                <w:szCs w:val="22"/>
                <w:lang w:val="en-US" w:eastAsia="zh-CN"/>
              </w:rPr>
            </w:pPr>
            <w:r>
              <w:rPr>
                <w:rFonts w:hint="eastAsia"/>
                <w:szCs w:val="22"/>
                <w:lang w:val="en-US" w:eastAsia="zh-CN"/>
              </w:rPr>
              <w:t>火灾事故为零；</w:t>
            </w:r>
          </w:p>
          <w:p>
            <w:pPr>
              <w:ind w:firstLine="420" w:firstLineChars="200"/>
              <w:rPr>
                <w:rFonts w:hint="eastAsia"/>
                <w:szCs w:val="22"/>
                <w:lang w:val="en-US" w:eastAsia="zh-CN"/>
              </w:rPr>
            </w:pPr>
            <w:r>
              <w:rPr>
                <w:rFonts w:hint="eastAsia"/>
                <w:szCs w:val="22"/>
                <w:lang w:val="en-US" w:eastAsia="zh-CN"/>
              </w:rPr>
              <w:t>计量器具检定/校准率100%；</w:t>
            </w:r>
          </w:p>
          <w:p>
            <w:pPr>
              <w:ind w:firstLine="420" w:firstLineChars="200"/>
              <w:rPr>
                <w:rFonts w:hint="default"/>
                <w:szCs w:val="22"/>
                <w:lang w:val="en-US" w:eastAsia="zh-CN"/>
              </w:rPr>
            </w:pPr>
            <w:r>
              <w:rPr>
                <w:rFonts w:hint="eastAsia"/>
                <w:szCs w:val="22"/>
                <w:lang w:val="en-US" w:eastAsia="zh-CN"/>
              </w:rPr>
              <w:t>不合格输出及时处理率100 %；_x0007_部门能源指标：平日注意节能、节水、节电，控制电量流失。保证公司目标指标的完成。 查阅相关记录，全部完成。</w:t>
            </w:r>
          </w:p>
        </w:tc>
        <w:tc>
          <w:tcPr>
            <w:tcW w:w="1213"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trPr>
        <w:tc>
          <w:tcPr>
            <w:tcW w:w="2160" w:type="dxa"/>
          </w:tcPr>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3.能源数据收集计划；</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4.信息交流</w:t>
            </w:r>
          </w:p>
          <w:p>
            <w:pPr>
              <w:pStyle w:val="6"/>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运行的策划和控制</w:t>
            </w:r>
          </w:p>
        </w:tc>
        <w:tc>
          <w:tcPr>
            <w:tcW w:w="960" w:type="dxa"/>
          </w:tcPr>
          <w:p>
            <w:pP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6.6/7.4/8.1</w:t>
            </w:r>
          </w:p>
        </w:tc>
        <w:tc>
          <w:tcPr>
            <w:tcW w:w="10376" w:type="dxa"/>
          </w:tcPr>
          <w:p>
            <w:pPr>
              <w:ind w:firstLine="420" w:firstLineChars="200"/>
              <w:rPr>
                <w:rFonts w:hint="default"/>
                <w:lang w:val="en-US" w:eastAsia="zh-CN"/>
              </w:rPr>
            </w:pPr>
            <w:r>
              <w:rPr>
                <w:rFonts w:hint="eastAsia"/>
                <w:lang w:val="en-US" w:eastAsia="zh-CN"/>
              </w:rPr>
              <w:t>1、提供文件化信息：《能源管理手册》、《程序文件清单》主要有TTXH-EnMS-P09 《能源服务、产品、设备和能源采购控制程序》TTXH-EnMS-P11《 监视、测量和分析控制程序》TTXH-EnMS-P13《 不符合、纠正措施和预防措施控制程序》《能源管理制度》《能源管理考核细则》《能源事故应急处理预案》等，有发布，实施。有编审批。确保了其适宜性和充分性。</w:t>
            </w:r>
          </w:p>
          <w:p>
            <w:pPr>
              <w:ind w:firstLine="420" w:firstLineChars="200"/>
              <w:rPr>
                <w:rFonts w:hint="eastAsia"/>
                <w:lang w:val="en-US" w:eastAsia="zh-CN"/>
              </w:rPr>
            </w:pPr>
            <w:r>
              <w:rPr>
                <w:rFonts w:hint="eastAsia"/>
                <w:lang w:val="en-US" w:eastAsia="zh-CN"/>
              </w:rPr>
              <w:t>2、提供《监视和测量设备管理台帐》，含：电子配料称18台、电子汽车衡4台、电子精密天平、电子天平各2台。</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default"/>
                <w:lang w:val="en-US" w:eastAsia="zh-CN"/>
              </w:rPr>
            </w:pPr>
            <w:r>
              <w:rPr>
                <w:rFonts w:hint="eastAsia"/>
                <w:lang w:val="en-US" w:eastAsia="zh-CN"/>
              </w:rPr>
              <w:t>3、</w:t>
            </w:r>
            <w:r>
              <w:rPr>
                <w:rFonts w:hint="eastAsia"/>
                <w:color w:val="000000" w:themeColor="text1"/>
                <w:sz w:val="24"/>
                <w:szCs w:val="24"/>
                <w:lang w:val="en-US" w:eastAsia="zh-CN"/>
                <w14:textFill>
                  <w14:solidFill>
                    <w14:schemeClr w14:val="tx1"/>
                  </w14:solidFill>
                </w14:textFill>
              </w:rPr>
              <w:t>信息交流采用的是网络、电话、微信、文件、会议等形式。没有发生违规情况。</w:t>
            </w:r>
          </w:p>
          <w:tbl>
            <w:tblPr>
              <w:tblStyle w:val="7"/>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01"/>
              <w:gridCol w:w="1162"/>
              <w:gridCol w:w="1695"/>
              <w:gridCol w:w="690"/>
              <w:gridCol w:w="1470"/>
              <w:gridCol w:w="1065"/>
              <w:gridCol w:w="975"/>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序号</w:t>
                  </w:r>
                </w:p>
              </w:tc>
              <w:tc>
                <w:tcPr>
                  <w:tcW w:w="12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设备名称</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规格型号</w:t>
                  </w:r>
                </w:p>
              </w:tc>
              <w:tc>
                <w:tcPr>
                  <w:tcW w:w="16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r>
                    <w:rPr>
                      <w:rFonts w:hint="eastAsia"/>
                      <w:lang w:val="en-US" w:eastAsia="zh-CN"/>
                    </w:rPr>
                    <w:t>出厂编号</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设备数量</w:t>
                  </w:r>
                </w:p>
              </w:tc>
              <w:tc>
                <w:tcPr>
                  <w:tcW w:w="14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r>
                    <w:rPr>
                      <w:rFonts w:hint="eastAsia"/>
                      <w:lang w:val="en-US" w:eastAsia="zh-CN"/>
                    </w:rPr>
                    <w:t>本次校正检定日期</w:t>
                  </w:r>
                </w:p>
              </w:tc>
              <w:tc>
                <w:tcPr>
                  <w:tcW w:w="10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检定/校准周期</w:t>
                  </w:r>
                </w:p>
              </w:tc>
              <w:tc>
                <w:tcPr>
                  <w:tcW w:w="9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检定/校准状态</w:t>
                  </w:r>
                </w:p>
              </w:tc>
              <w:tc>
                <w:tcPr>
                  <w:tcW w:w="6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1</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PLS-1500</w:t>
                  </w:r>
                </w:p>
              </w:tc>
              <w:tc>
                <w:tcPr>
                  <w:tcW w:w="1695" w:type="dxa"/>
                  <w:shd w:val="clear" w:color="auto" w:fill="auto"/>
                  <w:vAlign w:val="center"/>
                </w:tcPr>
                <w:p>
                  <w:pPr>
                    <w:spacing w:line="420" w:lineRule="atLeast"/>
                    <w:jc w:val="center"/>
                    <w:rPr>
                      <w:rFonts w:hint="default"/>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rPr>
                      <w:rFonts w:hint="eastAsia"/>
                      <w:lang w:val="en-US" w:eastAsia="zh-CN"/>
                    </w:rPr>
                  </w:pPr>
                  <w:r>
                    <w:rPr>
                      <w:rFonts w:hint="eastAsia"/>
                      <w:lang w:val="en-US" w:eastAsia="zh-CN"/>
                    </w:rPr>
                    <w:t>1</w:t>
                  </w:r>
                </w:p>
              </w:tc>
              <w:tc>
                <w:tcPr>
                  <w:tcW w:w="1470" w:type="dxa"/>
                  <w:shd w:val="clear" w:color="auto" w:fill="auto"/>
                  <w:vAlign w:val="center"/>
                </w:tcPr>
                <w:p>
                  <w:pPr>
                    <w:spacing w:line="420" w:lineRule="atLeast"/>
                    <w:jc w:val="center"/>
                    <w:rPr>
                      <w:rFonts w:hint="default"/>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2</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PLS-1800</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3</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PLS-1000</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4</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PLS-200</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5</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PLS-200</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6</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STL-2t-C</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pPr>
                  <w:r>
                    <w:rPr>
                      <w:rFonts w:hint="eastAsia"/>
                    </w:rPr>
                    <w:t>7</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STL-2t-C</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0" w:type="dxa"/>
                  <w:shd w:val="clear" w:color="auto" w:fill="auto"/>
                  <w:vAlign w:val="center"/>
                </w:tcPr>
                <w:p>
                  <w:pPr>
                    <w:spacing w:line="500" w:lineRule="exact"/>
                    <w:jc w:val="center"/>
                  </w:pPr>
                  <w:r>
                    <w:t>8</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STL-2t-C</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eastAsia"/>
                      <w:lang w:val="en-US" w:eastAsia="zh-CN"/>
                    </w:rPr>
                  </w:pPr>
                  <w:r>
                    <w:rPr>
                      <w:rFonts w:hint="eastAsia"/>
                      <w:lang w:val="en-US" w:eastAsia="zh-CN"/>
                    </w:rPr>
                    <w:t>9</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lang w:val="en-US" w:eastAsia="zh-CN"/>
                    </w:rPr>
                  </w:pPr>
                  <w:r>
                    <w:rPr>
                      <w:rFonts w:hint="eastAsia"/>
                    </w:rPr>
                    <w:t>STL-2t-C</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HZ0240CA0758</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10</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PLS-1500</w:t>
                  </w:r>
                </w:p>
              </w:tc>
              <w:tc>
                <w:tcPr>
                  <w:tcW w:w="1695" w:type="dxa"/>
                  <w:shd w:val="clear" w:color="auto" w:fill="auto"/>
                  <w:vAlign w:val="center"/>
                </w:tcPr>
                <w:p>
                  <w:pPr>
                    <w:spacing w:line="420" w:lineRule="atLeas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420" w:lineRule="atLeas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11</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PLS-1800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12</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PLS-1000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13</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PLS-200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14</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PLS-200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15</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STL-2t-C</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16</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STL-2t-C</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17</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STL-2t-C</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18</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电子配料称</w:t>
                  </w:r>
                </w:p>
              </w:tc>
              <w:tc>
                <w:tcPr>
                  <w:tcW w:w="1162" w:type="dxa"/>
                  <w:shd w:val="clear" w:color="auto" w:fill="auto"/>
                </w:tcPr>
                <w:p>
                  <w:pPr>
                    <w:spacing w:line="420" w:lineRule="atLeast"/>
                    <w:rPr>
                      <w:rFonts w:hint="eastAsia"/>
                      <w:lang w:val="en-US" w:eastAsia="zh-CN"/>
                    </w:rPr>
                  </w:pPr>
                  <w:r>
                    <w:rPr>
                      <w:rFonts w:hint="eastAsia"/>
                    </w:rPr>
                    <w:t>STL-2t-C</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19</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电子汽车衡</w:t>
                  </w:r>
                </w:p>
              </w:tc>
              <w:tc>
                <w:tcPr>
                  <w:tcW w:w="1162" w:type="dxa"/>
                  <w:shd w:val="clear" w:color="auto" w:fill="auto"/>
                </w:tcPr>
                <w:p>
                  <w:pPr>
                    <w:spacing w:line="420" w:lineRule="atLeast"/>
                    <w:rPr>
                      <w:rFonts w:hint="eastAsia"/>
                      <w:lang w:val="en-US" w:eastAsia="zh-CN"/>
                    </w:rPr>
                  </w:pPr>
                  <w:r>
                    <w:rPr>
                      <w:rFonts w:hint="eastAsia"/>
                    </w:rPr>
                    <w:t>SCS-100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20</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电子汽车衡</w:t>
                  </w:r>
                </w:p>
              </w:tc>
              <w:tc>
                <w:tcPr>
                  <w:tcW w:w="1162" w:type="dxa"/>
                  <w:shd w:val="clear" w:color="auto" w:fill="auto"/>
                </w:tcPr>
                <w:p>
                  <w:pPr>
                    <w:spacing w:line="420" w:lineRule="atLeast"/>
                    <w:rPr>
                      <w:rFonts w:hint="eastAsia"/>
                      <w:lang w:val="en-US" w:eastAsia="zh-CN"/>
                    </w:rPr>
                  </w:pPr>
                  <w:r>
                    <w:rPr>
                      <w:rFonts w:hint="eastAsia"/>
                    </w:rPr>
                    <w:t>SCS-100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HZ0240CA0757</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21</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lang w:val="en-US" w:eastAsia="zh-CN"/>
                    </w:rPr>
                  </w:pPr>
                  <w:r>
                    <w:rPr>
                      <w:rFonts w:hint="eastAsia"/>
                      <w:lang w:val="en-US" w:eastAsia="zh-CN"/>
                    </w:rPr>
                    <w:t>电子精密天平</w:t>
                  </w:r>
                </w:p>
              </w:tc>
              <w:tc>
                <w:tcPr>
                  <w:tcW w:w="1162" w:type="dxa"/>
                  <w:shd w:val="clear" w:color="auto" w:fill="auto"/>
                </w:tcPr>
                <w:p>
                  <w:pPr>
                    <w:spacing w:line="420" w:lineRule="atLeast"/>
                    <w:rPr>
                      <w:rFonts w:hint="eastAsia"/>
                      <w:lang w:val="en-US" w:eastAsia="zh-CN"/>
                    </w:rPr>
                  </w:pPr>
                  <w:r>
                    <w:rPr>
                      <w:rFonts w:hint="eastAsia"/>
                    </w:rPr>
                    <w:t>JA2003A</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2020058</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2021.04.12</w:t>
                  </w:r>
                </w:p>
              </w:tc>
              <w:tc>
                <w:tcPr>
                  <w:tcW w:w="1065" w:type="dxa"/>
                  <w:shd w:val="clear" w:color="auto" w:fill="auto"/>
                  <w:vAlign w:val="center"/>
                </w:tcPr>
                <w:p>
                  <w:pPr>
                    <w:spacing w:line="420" w:lineRule="atLeast"/>
                    <w:jc w:val="center"/>
                    <w:rPr>
                      <w:rFonts w:hint="default"/>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rFonts w:hint="eastAsia"/>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22</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lang w:val="en-US" w:eastAsia="zh-CN"/>
                    </w:rPr>
                  </w:pPr>
                  <w:r>
                    <w:rPr>
                      <w:rFonts w:hint="eastAsia"/>
                      <w:lang w:val="en-US" w:eastAsia="zh-CN"/>
                    </w:rPr>
                    <w:t>电子天平</w:t>
                  </w:r>
                </w:p>
              </w:tc>
              <w:tc>
                <w:tcPr>
                  <w:tcW w:w="1162" w:type="dxa"/>
                  <w:shd w:val="clear" w:color="auto" w:fill="auto"/>
                </w:tcPr>
                <w:p>
                  <w:pPr>
                    <w:spacing w:line="420" w:lineRule="atLeast"/>
                    <w:rPr>
                      <w:rFonts w:hint="eastAsia"/>
                      <w:lang w:val="en-US" w:eastAsia="zh-CN"/>
                    </w:rPr>
                  </w:pPr>
                  <w:r>
                    <w:rPr>
                      <w:rFonts w:hint="eastAsia"/>
                    </w:rPr>
                    <w:t>TD20002C</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2020768</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2021.04.12</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23</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电子精密天平</w:t>
                  </w:r>
                </w:p>
              </w:tc>
              <w:tc>
                <w:tcPr>
                  <w:tcW w:w="1162" w:type="dxa"/>
                  <w:shd w:val="clear" w:color="auto" w:fill="auto"/>
                </w:tcPr>
                <w:p>
                  <w:pPr>
                    <w:spacing w:line="420" w:lineRule="atLeast"/>
                    <w:rPr>
                      <w:rFonts w:hint="eastAsia"/>
                      <w:lang w:val="en-US" w:eastAsia="zh-CN"/>
                    </w:rPr>
                  </w:pPr>
                  <w:r>
                    <w:rPr>
                      <w:rFonts w:hint="eastAsia"/>
                      <w:lang w:val="en-US" w:eastAsia="zh-CN"/>
                    </w:rPr>
                    <w:t>FA2004</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2020479</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2021.04.12</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24</w:t>
                  </w:r>
                </w:p>
              </w:tc>
              <w:tc>
                <w:tcPr>
                  <w:tcW w:w="1201" w:type="dxa"/>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lang w:val="en-US" w:eastAsia="zh-CN"/>
                    </w:rPr>
                  </w:pPr>
                  <w:r>
                    <w:rPr>
                      <w:rFonts w:hint="eastAsia"/>
                      <w:lang w:val="en-US" w:eastAsia="zh-CN"/>
                    </w:rPr>
                    <w:t>电子天平</w:t>
                  </w:r>
                </w:p>
              </w:tc>
              <w:tc>
                <w:tcPr>
                  <w:tcW w:w="1162" w:type="dxa"/>
                  <w:shd w:val="clear" w:color="auto" w:fill="auto"/>
                </w:tcPr>
                <w:p>
                  <w:pPr>
                    <w:spacing w:line="420" w:lineRule="atLeast"/>
                    <w:rPr>
                      <w:rFonts w:hint="eastAsia"/>
                      <w:lang w:val="en-US" w:eastAsia="zh-CN"/>
                    </w:rPr>
                  </w:pPr>
                  <w:r>
                    <w:rPr>
                      <w:rFonts w:hint="eastAsia"/>
                      <w:lang w:val="en-US" w:eastAsia="zh-CN"/>
                    </w:rPr>
                    <w:t>TD100020</w:t>
                  </w:r>
                </w:p>
              </w:tc>
              <w:tc>
                <w:tcPr>
                  <w:tcW w:w="1695" w:type="dxa"/>
                  <w:shd w:val="clear" w:color="auto" w:fill="auto"/>
                  <w:vAlign w:val="center"/>
                </w:tcPr>
                <w:p>
                  <w:pPr>
                    <w:spacing w:line="500" w:lineRule="exact"/>
                    <w:jc w:val="center"/>
                    <w:rPr>
                      <w:rFonts w:hint="eastAsia"/>
                      <w:lang w:val="en-US" w:eastAsia="zh-CN"/>
                    </w:rPr>
                  </w:pPr>
                  <w:r>
                    <w:rPr>
                      <w:rFonts w:hint="eastAsia"/>
                      <w:lang w:val="en-US" w:eastAsia="zh-CN"/>
                    </w:rPr>
                    <w:t>2020371</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2021.04.12</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25</w:t>
                  </w:r>
                </w:p>
              </w:tc>
              <w:tc>
                <w:tcPr>
                  <w:tcW w:w="12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lang w:val="en-US" w:eastAsia="zh-CN"/>
                    </w:rPr>
                  </w:pPr>
                  <w:r>
                    <w:rPr>
                      <w:rFonts w:hint="eastAsia"/>
                      <w:lang w:val="en-US" w:eastAsia="zh-CN"/>
                    </w:rPr>
                    <w:t>电子汽车衡</w:t>
                  </w:r>
                </w:p>
              </w:tc>
              <w:tc>
                <w:tcPr>
                  <w:tcW w:w="1162" w:type="dxa"/>
                  <w:shd w:val="clear" w:color="auto" w:fill="auto"/>
                  <w:vAlign w:val="center"/>
                </w:tcPr>
                <w:p>
                  <w:pPr>
                    <w:spacing w:line="420" w:lineRule="atLeast"/>
                    <w:jc w:val="center"/>
                    <w:rPr>
                      <w:rFonts w:hint="eastAsia"/>
                      <w:lang w:val="en-US" w:eastAsia="zh-CN"/>
                    </w:rPr>
                  </w:pPr>
                  <w:r>
                    <w:rPr>
                      <w:rFonts w:hint="eastAsia"/>
                      <w:lang w:val="en-US" w:eastAsia="zh-CN"/>
                    </w:rPr>
                    <w:t>SCS-100</w:t>
                  </w:r>
                </w:p>
              </w:tc>
              <w:tc>
                <w:tcPr>
                  <w:tcW w:w="1695" w:type="dxa"/>
                  <w:shd w:val="clear" w:color="auto" w:fill="auto"/>
                  <w:vAlign w:val="center"/>
                </w:tcPr>
                <w:p>
                  <w:pPr>
                    <w:spacing w:line="500" w:lineRule="exact"/>
                    <w:jc w:val="center"/>
                    <w:rPr>
                      <w:rFonts w:hint="default"/>
                      <w:lang w:val="en-US" w:eastAsia="zh-CN"/>
                    </w:rPr>
                  </w:pPr>
                  <w:r>
                    <w:rPr>
                      <w:rFonts w:hint="eastAsia"/>
                      <w:lang w:val="en-US" w:eastAsia="zh-CN"/>
                    </w:rPr>
                    <w:t>210305</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pPr>
                    <w:spacing w:line="500" w:lineRule="exact"/>
                    <w:jc w:val="center"/>
                    <w:rPr>
                      <w:rFonts w:hint="default"/>
                      <w:lang w:val="en-US" w:eastAsia="zh-CN"/>
                    </w:rPr>
                  </w:pPr>
                  <w:r>
                    <w:rPr>
                      <w:rFonts w:hint="eastAsia"/>
                      <w:lang w:val="en-US" w:eastAsia="zh-CN"/>
                    </w:rPr>
                    <w:t>26</w:t>
                  </w:r>
                </w:p>
              </w:tc>
              <w:tc>
                <w:tcPr>
                  <w:tcW w:w="12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lang w:val="en-US" w:eastAsia="zh-CN"/>
                    </w:rPr>
                  </w:pPr>
                  <w:r>
                    <w:rPr>
                      <w:rFonts w:hint="eastAsia"/>
                      <w:lang w:val="en-US" w:eastAsia="zh-CN"/>
                    </w:rPr>
                    <w:t>电子汽车衡</w:t>
                  </w:r>
                </w:p>
              </w:tc>
              <w:tc>
                <w:tcPr>
                  <w:tcW w:w="1162" w:type="dxa"/>
                  <w:shd w:val="clear" w:color="auto" w:fill="auto"/>
                  <w:vAlign w:val="center"/>
                </w:tcPr>
                <w:p>
                  <w:pPr>
                    <w:spacing w:line="420" w:lineRule="atLeast"/>
                    <w:jc w:val="center"/>
                    <w:rPr>
                      <w:rFonts w:hint="eastAsia"/>
                      <w:lang w:val="en-US" w:eastAsia="zh-CN"/>
                    </w:rPr>
                  </w:pPr>
                  <w:r>
                    <w:rPr>
                      <w:rFonts w:hint="eastAsia"/>
                      <w:lang w:val="en-US" w:eastAsia="zh-CN"/>
                    </w:rPr>
                    <w:t>SCS-100</w:t>
                  </w:r>
                </w:p>
              </w:tc>
              <w:tc>
                <w:tcPr>
                  <w:tcW w:w="1695" w:type="dxa"/>
                  <w:shd w:val="clear" w:color="auto" w:fill="auto"/>
                  <w:vAlign w:val="center"/>
                </w:tcPr>
                <w:p>
                  <w:pPr>
                    <w:spacing w:line="500" w:lineRule="exact"/>
                    <w:jc w:val="center"/>
                    <w:rPr>
                      <w:rFonts w:hint="default"/>
                      <w:lang w:val="en-US" w:eastAsia="zh-CN"/>
                    </w:rPr>
                  </w:pPr>
                  <w:r>
                    <w:rPr>
                      <w:rFonts w:hint="eastAsia"/>
                      <w:lang w:val="en-US" w:eastAsia="zh-CN"/>
                    </w:rPr>
                    <w:t>210305</w:t>
                  </w:r>
                </w:p>
              </w:tc>
              <w:tc>
                <w:tcPr>
                  <w:tcW w:w="690" w:type="dxa"/>
                  <w:shd w:val="clear" w:color="auto" w:fill="auto"/>
                  <w:vAlign w:val="center"/>
                </w:tcPr>
                <w:p>
                  <w:pPr>
                    <w:spacing w:line="500" w:lineRule="exact"/>
                    <w:jc w:val="center"/>
                  </w:pPr>
                  <w:r>
                    <w:rPr>
                      <w:rFonts w:hint="eastAsia"/>
                      <w:lang w:val="en-US" w:eastAsia="zh-CN"/>
                    </w:rPr>
                    <w:t>1</w:t>
                  </w:r>
                </w:p>
              </w:tc>
              <w:tc>
                <w:tcPr>
                  <w:tcW w:w="1470" w:type="dxa"/>
                  <w:shd w:val="clear" w:color="auto" w:fill="auto"/>
                  <w:vAlign w:val="center"/>
                </w:tcPr>
                <w:p>
                  <w:pPr>
                    <w:spacing w:line="420" w:lineRule="atLeast"/>
                    <w:jc w:val="center"/>
                    <w:rPr>
                      <w:rFonts w:hint="eastAsia"/>
                      <w:lang w:val="en-US" w:eastAsia="zh-CN"/>
                    </w:rPr>
                  </w:pPr>
                  <w:r>
                    <w:rPr>
                      <w:rFonts w:hint="eastAsia"/>
                      <w:lang w:val="en-US" w:eastAsia="zh-CN"/>
                    </w:rPr>
                    <w:t>2021.06.11</w:t>
                  </w:r>
                </w:p>
              </w:tc>
              <w:tc>
                <w:tcPr>
                  <w:tcW w:w="1065" w:type="dxa"/>
                  <w:shd w:val="clear" w:color="auto" w:fill="auto"/>
                  <w:vAlign w:val="center"/>
                </w:tcPr>
                <w:p>
                  <w:pPr>
                    <w:spacing w:line="420" w:lineRule="atLeast"/>
                    <w:jc w:val="center"/>
                    <w:rPr>
                      <w:lang w:val="en-US" w:eastAsia="zh-CN"/>
                    </w:rPr>
                  </w:pPr>
                  <w:r>
                    <w:rPr>
                      <w:rFonts w:hint="eastAsia"/>
                      <w:lang w:val="en-US" w:eastAsia="zh-CN"/>
                    </w:rPr>
                    <w:t>12个月</w:t>
                  </w:r>
                </w:p>
              </w:tc>
              <w:tc>
                <w:tcPr>
                  <w:tcW w:w="975" w:type="dxa"/>
                  <w:shd w:val="clear" w:color="auto" w:fill="auto"/>
                  <w:vAlign w:val="center"/>
                </w:tcPr>
                <w:p>
                  <w:pPr>
                    <w:spacing w:line="420" w:lineRule="atLeast"/>
                    <w:jc w:val="center"/>
                    <w:rPr>
                      <w:lang w:val="en-US" w:eastAsia="zh-CN"/>
                    </w:rPr>
                  </w:pPr>
                  <w:r>
                    <w:rPr>
                      <w:rFonts w:hint="eastAsia"/>
                      <w:lang w:val="en-US" w:eastAsia="zh-CN"/>
                    </w:rPr>
                    <w:t>合格</w:t>
                  </w:r>
                </w:p>
              </w:tc>
              <w:tc>
                <w:tcPr>
                  <w:tcW w:w="668" w:type="dxa"/>
                  <w:shd w:val="clear" w:color="auto" w:fill="auto"/>
                  <w:vAlign w:val="center"/>
                </w:tcPr>
                <w:p>
                  <w:pPr>
                    <w:spacing w:line="500" w:lineRule="exact"/>
                    <w:jc w:val="center"/>
                  </w:pPr>
                </w:p>
              </w:tc>
            </w:tr>
          </w:tbl>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 xml:space="preserve">       抽1、编号为：210305电子汽车衡 校正时间：2021-6-11， 符合要求     </w:t>
            </w:r>
          </w:p>
          <w:p>
            <w:pPr>
              <w:jc w:val="center"/>
            </w:pPr>
            <w:r>
              <w:drawing>
                <wp:inline distT="0" distB="0" distL="114300" distR="114300">
                  <wp:extent cx="1684020" cy="2333625"/>
                  <wp:effectExtent l="0" t="0" r="508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1684020" cy="2333625"/>
                          </a:xfrm>
                          <a:prstGeom prst="rect">
                            <a:avLst/>
                          </a:prstGeom>
                          <a:noFill/>
                          <a:ln>
                            <a:noFill/>
                          </a:ln>
                        </pic:spPr>
                      </pic:pic>
                    </a:graphicData>
                  </a:graphic>
                </wp:inline>
              </w:drawing>
            </w:r>
            <w:r>
              <w:drawing>
                <wp:inline distT="0" distB="0" distL="114300" distR="114300">
                  <wp:extent cx="1594485" cy="2373630"/>
                  <wp:effectExtent l="0" t="0" r="5715"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594485" cy="2373630"/>
                          </a:xfrm>
                          <a:prstGeom prst="rect">
                            <a:avLst/>
                          </a:prstGeom>
                          <a:noFill/>
                          <a:ln>
                            <a:noFill/>
                          </a:ln>
                        </pic:spPr>
                      </pic:pic>
                    </a:graphicData>
                  </a:graphic>
                </wp:inline>
              </w:drawing>
            </w:r>
            <w:r>
              <w:drawing>
                <wp:inline distT="0" distB="0" distL="114300" distR="114300">
                  <wp:extent cx="1603375" cy="2377440"/>
                  <wp:effectExtent l="0" t="0" r="9525"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1603375" cy="2377440"/>
                          </a:xfrm>
                          <a:prstGeom prst="rect">
                            <a:avLst/>
                          </a:prstGeom>
                          <a:noFill/>
                          <a:ln>
                            <a:noFill/>
                          </a:ln>
                        </pic:spPr>
                      </pic:pic>
                    </a:graphicData>
                  </a:graphic>
                </wp:inline>
              </w:drawing>
            </w:r>
            <w:bookmarkStart w:id="2" w:name="_GoBack"/>
            <w:bookmarkEnd w:id="2"/>
          </w:p>
          <w:p>
            <w:pPr>
              <w:pStyle w:val="6"/>
              <w:rPr>
                <w:rFonts w:hint="default"/>
                <w:lang w:val="en-US" w:eastAsia="zh-CN"/>
              </w:rPr>
            </w:pPr>
            <w:r>
              <w:rPr>
                <w:rFonts w:hint="eastAsia"/>
                <w:lang w:val="en-US" w:eastAsia="zh-CN"/>
              </w:rPr>
              <w:t>抽2、编号为2#减水剂 型号：PLS200 电子配料称 校正时间：2021-6-11， 符合要求</w:t>
            </w:r>
          </w:p>
          <w:p>
            <w:pPr>
              <w:jc w:val="center"/>
            </w:pPr>
            <w:r>
              <w:drawing>
                <wp:inline distT="0" distB="0" distL="114300" distR="114300">
                  <wp:extent cx="1613535" cy="2299335"/>
                  <wp:effectExtent l="0" t="0" r="12065"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1613535" cy="2299335"/>
                          </a:xfrm>
                          <a:prstGeom prst="rect">
                            <a:avLst/>
                          </a:prstGeom>
                          <a:noFill/>
                          <a:ln>
                            <a:noFill/>
                          </a:ln>
                        </pic:spPr>
                      </pic:pic>
                    </a:graphicData>
                  </a:graphic>
                </wp:inline>
              </w:drawing>
            </w:r>
            <w:r>
              <w:drawing>
                <wp:inline distT="0" distB="0" distL="114300" distR="114300">
                  <wp:extent cx="1530985" cy="2310130"/>
                  <wp:effectExtent l="0" t="0" r="5715" b="12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530985" cy="2310130"/>
                          </a:xfrm>
                          <a:prstGeom prst="rect">
                            <a:avLst/>
                          </a:prstGeom>
                          <a:noFill/>
                          <a:ln>
                            <a:noFill/>
                          </a:ln>
                        </pic:spPr>
                      </pic:pic>
                    </a:graphicData>
                  </a:graphic>
                </wp:inline>
              </w:drawing>
            </w:r>
            <w:r>
              <w:drawing>
                <wp:inline distT="0" distB="0" distL="114300" distR="114300">
                  <wp:extent cx="1524000" cy="2278380"/>
                  <wp:effectExtent l="0" t="0" r="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524000" cy="2278380"/>
                          </a:xfrm>
                          <a:prstGeom prst="rect">
                            <a:avLst/>
                          </a:prstGeom>
                          <a:noFill/>
                          <a:ln>
                            <a:noFill/>
                          </a:ln>
                        </pic:spPr>
                      </pic:pic>
                    </a:graphicData>
                  </a:graphic>
                </wp:inline>
              </w:drawing>
            </w:r>
          </w:p>
          <w:p>
            <w:pPr>
              <w:pStyle w:val="6"/>
            </w:pPr>
          </w:p>
          <w:p>
            <w:pPr>
              <w:jc w:val="center"/>
              <w:rPr>
                <w:rFonts w:hint="eastAsia"/>
                <w:lang w:val="en-US" w:eastAsia="zh-CN"/>
              </w:rPr>
            </w:pPr>
            <w:r>
              <w:rPr>
                <w:rFonts w:hint="eastAsia"/>
                <w:lang w:val="en-US" w:eastAsia="zh-CN"/>
              </w:rPr>
              <w:t>抽3、出厂编号为：2020768，型号：TD20002C 电子天平，校正日期：2021-4-12，符合要求</w:t>
            </w:r>
            <w:r>
              <w:rPr>
                <w:rFonts w:hint="default"/>
                <w:lang w:val="en-US" w:eastAsia="zh-CN"/>
              </w:rPr>
              <w:drawing>
                <wp:inline distT="0" distB="0" distL="114300" distR="114300">
                  <wp:extent cx="1696085" cy="2399030"/>
                  <wp:effectExtent l="0" t="0" r="5715" b="1270"/>
                  <wp:docPr id="15" name="图片 15" descr="ScanData_2021111917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anData_20211119172020-1"/>
                          <pic:cNvPicPr>
                            <a:picLocks noChangeAspect="1"/>
                          </pic:cNvPicPr>
                        </pic:nvPicPr>
                        <pic:blipFill>
                          <a:blip r:embed="rId12"/>
                          <a:stretch>
                            <a:fillRect/>
                          </a:stretch>
                        </pic:blipFill>
                        <pic:spPr>
                          <a:xfrm>
                            <a:off x="0" y="0"/>
                            <a:ext cx="1696085" cy="2399030"/>
                          </a:xfrm>
                          <a:prstGeom prst="rect">
                            <a:avLst/>
                          </a:prstGeom>
                        </pic:spPr>
                      </pic:pic>
                    </a:graphicData>
                  </a:graphic>
                </wp:inline>
              </w:drawing>
            </w:r>
            <w:r>
              <w:rPr>
                <w:rFonts w:hint="default"/>
                <w:lang w:val="en-US" w:eastAsia="zh-CN"/>
              </w:rPr>
              <w:drawing>
                <wp:inline distT="0" distB="0" distL="114300" distR="114300">
                  <wp:extent cx="1684020" cy="2381885"/>
                  <wp:effectExtent l="0" t="0" r="5080" b="5715"/>
                  <wp:docPr id="16" name="图片 16" descr="ScanData_2021111917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anData_20211119172020-2"/>
                          <pic:cNvPicPr>
                            <a:picLocks noChangeAspect="1"/>
                          </pic:cNvPicPr>
                        </pic:nvPicPr>
                        <pic:blipFill>
                          <a:blip r:embed="rId13"/>
                          <a:stretch>
                            <a:fillRect/>
                          </a:stretch>
                        </pic:blipFill>
                        <pic:spPr>
                          <a:xfrm>
                            <a:off x="0" y="0"/>
                            <a:ext cx="1684020" cy="2381885"/>
                          </a:xfrm>
                          <a:prstGeom prst="rect">
                            <a:avLst/>
                          </a:prstGeom>
                        </pic:spPr>
                      </pic:pic>
                    </a:graphicData>
                  </a:graphic>
                </wp:inline>
              </w:drawing>
            </w:r>
            <w:r>
              <w:rPr>
                <w:rFonts w:hint="default"/>
                <w:lang w:val="en-US" w:eastAsia="zh-CN"/>
              </w:rPr>
              <w:drawing>
                <wp:inline distT="0" distB="0" distL="114300" distR="114300">
                  <wp:extent cx="1666875" cy="2357120"/>
                  <wp:effectExtent l="0" t="0" r="9525" b="5080"/>
                  <wp:docPr id="17" name="图片 17" descr="ScanData_2021111917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anData_20211119172020-3"/>
                          <pic:cNvPicPr>
                            <a:picLocks noChangeAspect="1"/>
                          </pic:cNvPicPr>
                        </pic:nvPicPr>
                        <pic:blipFill>
                          <a:blip r:embed="rId14"/>
                          <a:stretch>
                            <a:fillRect/>
                          </a:stretch>
                        </pic:blipFill>
                        <pic:spPr>
                          <a:xfrm>
                            <a:off x="0" y="0"/>
                            <a:ext cx="1666875" cy="2357120"/>
                          </a:xfrm>
                          <a:prstGeom prst="rect">
                            <a:avLst/>
                          </a:prstGeom>
                        </pic:spPr>
                      </pic:pic>
                    </a:graphicData>
                  </a:graphic>
                </wp:inline>
              </w:drawing>
            </w:r>
            <w:r>
              <w:rPr>
                <w:rFonts w:hint="eastAsia"/>
                <w:lang w:val="en-US" w:eastAsia="zh-CN"/>
              </w:rPr>
              <w:t>。</w:t>
            </w:r>
          </w:p>
          <w:p>
            <w:pPr>
              <w:rPr>
                <w:rFonts w:hint="eastAsia"/>
                <w:lang w:val="en-US" w:eastAsia="zh-CN"/>
              </w:rPr>
            </w:pPr>
            <w:r>
              <w:rPr>
                <w:rFonts w:hint="eastAsia"/>
                <w:lang w:val="en-US" w:eastAsia="zh-CN"/>
              </w:rPr>
              <w:t xml:space="preserve">  抽4、出厂出厂编号为：2020058，型号：JA2003A 电子精密天平，校正日期：2021-4-12，符合要求。</w:t>
            </w:r>
          </w:p>
          <w:p>
            <w:pPr>
              <w:pStyle w:val="6"/>
              <w:jc w:val="center"/>
              <w:rPr>
                <w:rFonts w:hint="default"/>
                <w:lang w:val="en-US" w:eastAsia="zh-CN"/>
              </w:rPr>
            </w:pPr>
            <w:r>
              <w:rPr>
                <w:rFonts w:hint="default"/>
                <w:lang w:val="en-US" w:eastAsia="zh-CN"/>
              </w:rPr>
              <w:drawing>
                <wp:inline distT="0" distB="0" distL="114300" distR="114300">
                  <wp:extent cx="1499870" cy="2121535"/>
                  <wp:effectExtent l="0" t="0" r="11430" b="12065"/>
                  <wp:docPr id="18" name="图片 18" descr="ScanData_20211119172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anData_20211119172020-7"/>
                          <pic:cNvPicPr>
                            <a:picLocks noChangeAspect="1"/>
                          </pic:cNvPicPr>
                        </pic:nvPicPr>
                        <pic:blipFill>
                          <a:blip r:embed="rId15"/>
                          <a:stretch>
                            <a:fillRect/>
                          </a:stretch>
                        </pic:blipFill>
                        <pic:spPr>
                          <a:xfrm>
                            <a:off x="0" y="0"/>
                            <a:ext cx="1499870" cy="2121535"/>
                          </a:xfrm>
                          <a:prstGeom prst="rect">
                            <a:avLst/>
                          </a:prstGeom>
                        </pic:spPr>
                      </pic:pic>
                    </a:graphicData>
                  </a:graphic>
                </wp:inline>
              </w:drawing>
            </w:r>
            <w:r>
              <w:rPr>
                <w:rFonts w:hint="default"/>
                <w:lang w:val="en-US" w:eastAsia="zh-CN"/>
              </w:rPr>
              <w:drawing>
                <wp:inline distT="0" distB="0" distL="114300" distR="114300">
                  <wp:extent cx="1489710" cy="2105660"/>
                  <wp:effectExtent l="0" t="0" r="8890" b="2540"/>
                  <wp:docPr id="19" name="图片 19" descr="ScanData_20211119172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anData_20211119172020-8"/>
                          <pic:cNvPicPr>
                            <a:picLocks noChangeAspect="1"/>
                          </pic:cNvPicPr>
                        </pic:nvPicPr>
                        <pic:blipFill>
                          <a:blip r:embed="rId16"/>
                          <a:stretch>
                            <a:fillRect/>
                          </a:stretch>
                        </pic:blipFill>
                        <pic:spPr>
                          <a:xfrm>
                            <a:off x="0" y="0"/>
                            <a:ext cx="1489710" cy="2105660"/>
                          </a:xfrm>
                          <a:prstGeom prst="rect">
                            <a:avLst/>
                          </a:prstGeom>
                        </pic:spPr>
                      </pic:pic>
                    </a:graphicData>
                  </a:graphic>
                </wp:inline>
              </w:drawing>
            </w:r>
            <w:r>
              <w:rPr>
                <w:rFonts w:hint="default"/>
                <w:lang w:val="en-US" w:eastAsia="zh-CN"/>
              </w:rPr>
              <w:drawing>
                <wp:inline distT="0" distB="0" distL="114300" distR="114300">
                  <wp:extent cx="1499235" cy="2120265"/>
                  <wp:effectExtent l="0" t="0" r="12065" b="635"/>
                  <wp:docPr id="20" name="图片 20" descr="ScanData_20211119172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anData_20211119172020-9"/>
                          <pic:cNvPicPr>
                            <a:picLocks noChangeAspect="1"/>
                          </pic:cNvPicPr>
                        </pic:nvPicPr>
                        <pic:blipFill>
                          <a:blip r:embed="rId17"/>
                          <a:stretch>
                            <a:fillRect/>
                          </a:stretch>
                        </pic:blipFill>
                        <pic:spPr>
                          <a:xfrm>
                            <a:off x="0" y="0"/>
                            <a:ext cx="1499235" cy="2120265"/>
                          </a:xfrm>
                          <a:prstGeom prst="rect">
                            <a:avLst/>
                          </a:prstGeom>
                        </pic:spPr>
                      </pic:pic>
                    </a:graphicData>
                  </a:graphic>
                </wp:inline>
              </w:drawing>
            </w:r>
          </w:p>
          <w:p>
            <w:pPr>
              <w:rPr>
                <w:rFonts w:hint="default"/>
                <w:lang w:val="en-US" w:eastAsia="zh-CN"/>
              </w:rPr>
            </w:pPr>
          </w:p>
        </w:tc>
        <w:tc>
          <w:tcPr>
            <w:tcW w:w="1213" w:type="dxa"/>
          </w:tcPr>
          <w:p/>
          <w:p>
            <w:pPr>
              <w:pStyle w:val="6"/>
              <w:rPr>
                <w:rFonts w:hint="eastAsia" w:eastAsia="宋体"/>
                <w:lang w:val="en-US" w:eastAsia="zh-CN"/>
              </w:rPr>
            </w:pPr>
            <w:r>
              <w:rPr>
                <w:rFonts w:hint="eastAsia"/>
                <w:lang w:val="en-US" w:eastAsia="zh-CN"/>
              </w:rPr>
              <w:t>y</w:t>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rPr>
                <w:rFonts w:hint="eastAsia" w:eastAsia="宋体"/>
                <w:lang w:val="en-US" w:eastAsia="zh-CN"/>
              </w:rPr>
            </w:pPr>
          </w:p>
        </w:tc>
      </w:tr>
    </w:tbl>
    <w:p>
      <w:pPr>
        <w:pStyle w:val="4"/>
      </w:pPr>
      <w:r>
        <w:rPr>
          <w:rFonts w:hint="eastAsia"/>
        </w:rPr>
        <w:t>说明：不符合标注N</w:t>
      </w:r>
    </w:p>
    <w:p>
      <w:pPr>
        <w:pStyle w:val="4"/>
        <w:rPr>
          <w:rFonts w:hint="eastAsia"/>
        </w:rPr>
      </w:pPr>
    </w:p>
    <w:p>
      <w:pPr>
        <w:pStyle w:val="4"/>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-36195</wp:posOffset>
          </wp:positionV>
          <wp:extent cx="382270" cy="348615"/>
          <wp:effectExtent l="0" t="0" r="6350" b="1905"/>
          <wp:wrapTight wrapText="bothSides">
            <wp:wrapPolygon>
              <wp:start x="5597" y="0"/>
              <wp:lineTo x="0" y="2833"/>
              <wp:lineTo x="0" y="16997"/>
              <wp:lineTo x="6889" y="21246"/>
              <wp:lineTo x="9472" y="21246"/>
              <wp:lineTo x="14639" y="21246"/>
              <wp:lineTo x="15070" y="21246"/>
              <wp:lineTo x="20237" y="15108"/>
              <wp:lineTo x="21098" y="6610"/>
              <wp:lineTo x="16361" y="944"/>
              <wp:lineTo x="14209" y="0"/>
              <wp:lineTo x="5597"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382270" cy="348615"/>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4"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DyZ5I/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mc:Fallback>
      </mc:AlternateContent>
    </w:r>
    <w:r>
      <w:rPr>
        <w:rStyle w:val="13"/>
        <w:rFonts w:hint="default"/>
        <w:w w:val="90"/>
      </w:rPr>
      <w:t>Beijing International Standard united Certification Co.,Ltd.</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8422B0C"/>
    <w:rsid w:val="0AFD3115"/>
    <w:rsid w:val="108219C2"/>
    <w:rsid w:val="16D974B1"/>
    <w:rsid w:val="18572570"/>
    <w:rsid w:val="18B87AD8"/>
    <w:rsid w:val="1ADD2EA8"/>
    <w:rsid w:val="1B46487E"/>
    <w:rsid w:val="212345D6"/>
    <w:rsid w:val="25C6426F"/>
    <w:rsid w:val="283C778A"/>
    <w:rsid w:val="288A33C5"/>
    <w:rsid w:val="29E318C1"/>
    <w:rsid w:val="2BE71DC5"/>
    <w:rsid w:val="2F912599"/>
    <w:rsid w:val="318604A8"/>
    <w:rsid w:val="32334EAE"/>
    <w:rsid w:val="347A765D"/>
    <w:rsid w:val="36742059"/>
    <w:rsid w:val="3D507775"/>
    <w:rsid w:val="3E4F4E3C"/>
    <w:rsid w:val="3EC252BA"/>
    <w:rsid w:val="40E73C0B"/>
    <w:rsid w:val="418C6EA0"/>
    <w:rsid w:val="430458CB"/>
    <w:rsid w:val="43C45188"/>
    <w:rsid w:val="44F95C5F"/>
    <w:rsid w:val="450827B4"/>
    <w:rsid w:val="456613DE"/>
    <w:rsid w:val="4B1D16C3"/>
    <w:rsid w:val="4DEF371F"/>
    <w:rsid w:val="4FFD1A67"/>
    <w:rsid w:val="508939BE"/>
    <w:rsid w:val="56F0460D"/>
    <w:rsid w:val="5A1D6551"/>
    <w:rsid w:val="5BFD0207"/>
    <w:rsid w:val="5CAB44D2"/>
    <w:rsid w:val="5EA12B9A"/>
    <w:rsid w:val="5EC27919"/>
    <w:rsid w:val="5F5C13F0"/>
    <w:rsid w:val="60D8693C"/>
    <w:rsid w:val="62F24F2F"/>
    <w:rsid w:val="645B5A42"/>
    <w:rsid w:val="650A78D6"/>
    <w:rsid w:val="6ADD596E"/>
    <w:rsid w:val="6CAA131E"/>
    <w:rsid w:val="6D111902"/>
    <w:rsid w:val="6F656420"/>
    <w:rsid w:val="6F765216"/>
    <w:rsid w:val="70FE0D10"/>
    <w:rsid w:val="7257141B"/>
    <w:rsid w:val="76AF40A0"/>
    <w:rsid w:val="78E67034"/>
    <w:rsid w:val="7DD03757"/>
    <w:rsid w:val="7E155C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eastAsia="华文细黑"/>
      <w:sz w:val="24"/>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table of figures"/>
    <w:basedOn w:val="1"/>
    <w:next w:val="1"/>
    <w:qFormat/>
    <w:uiPriority w:val="0"/>
    <w:pPr>
      <w:ind w:left="200" w:leftChars="200" w:hanging="200" w:hangingChars="200"/>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rFonts w:ascii="Times New Roman" w:hAnsi="Times New Roman" w:eastAsia="宋体" w:cs="Times New Roman"/>
      <w:sz w:val="18"/>
      <w:szCs w:val="18"/>
    </w:rPr>
  </w:style>
  <w:style w:type="character" w:customStyle="1" w:styleId="11">
    <w:name w:val="页脚 字符"/>
    <w:basedOn w:val="9"/>
    <w:link w:val="4"/>
    <w:qFormat/>
    <w:uiPriority w:val="99"/>
    <w:rPr>
      <w:rFonts w:ascii="Times New Roman" w:hAnsi="Times New Roman" w:eastAsia="宋体" w:cs="Times New Roman"/>
      <w:sz w:val="18"/>
      <w:szCs w:val="18"/>
    </w:rPr>
  </w:style>
  <w:style w:type="character" w:customStyle="1" w:styleId="12">
    <w:name w:val="批注框文本 字符"/>
    <w:basedOn w:val="9"/>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font31"/>
    <w:basedOn w:val="9"/>
    <w:uiPriority w:val="0"/>
    <w:rPr>
      <w:rFonts w:hint="default" w:ascii="Times New Roman" w:hAnsi="Times New Roman" w:cs="Times New Roman"/>
      <w:color w:val="000000"/>
      <w:sz w:val="18"/>
      <w:szCs w:val="18"/>
      <w:u w:val="none"/>
    </w:rPr>
  </w:style>
  <w:style w:type="character" w:customStyle="1" w:styleId="15">
    <w:name w:val="font21"/>
    <w:basedOn w:val="9"/>
    <w:qFormat/>
    <w:uiPriority w:val="0"/>
    <w:rPr>
      <w:rFonts w:hint="default" w:ascii="Times New Roman" w:hAnsi="Times New Roman" w:cs="Times New Roman"/>
      <w:color w:val="000000"/>
      <w:sz w:val="18"/>
      <w:szCs w:val="18"/>
      <w:u w:val="none"/>
      <w:vertAlign w:val="superscript"/>
    </w:rPr>
  </w:style>
  <w:style w:type="character" w:customStyle="1" w:styleId="16">
    <w:name w:val="font51"/>
    <w:basedOn w:val="9"/>
    <w:qFormat/>
    <w:uiPriority w:val="0"/>
    <w:rPr>
      <w:rFonts w:hint="default" w:ascii="仿宋_GB2312" w:eastAsia="仿宋_GB2312" w:cs="仿宋_GB2312"/>
      <w:color w:val="000000"/>
      <w:sz w:val="18"/>
      <w:szCs w:val="18"/>
      <w:u w:val="none"/>
    </w:rPr>
  </w:style>
  <w:style w:type="character" w:customStyle="1" w:styleId="17">
    <w:name w:val="font11"/>
    <w:basedOn w:val="9"/>
    <w:qFormat/>
    <w:uiPriority w:val="0"/>
    <w:rPr>
      <w:rFonts w:hint="eastAsia" w:ascii="宋体" w:hAnsi="宋体" w:eastAsia="宋体" w:cs="宋体"/>
      <w:color w:val="000000"/>
      <w:sz w:val="18"/>
      <w:szCs w:val="18"/>
      <w:u w:val="none"/>
    </w:rPr>
  </w:style>
  <w:style w:type="paragraph" w:customStyle="1" w:styleId="18">
    <w:name w:val="Normal_330f1695-4962-4700-a70e-80cbb1844eb1"/>
    <w:qFormat/>
    <w:uiPriority w:val="0"/>
    <w:pPr>
      <w:widowControl w:val="0"/>
      <w:pBdr>
        <w:top w:val="none" w:color="auto" w:sz="0" w:space="0"/>
        <w:left w:val="none" w:color="auto" w:sz="0" w:space="0"/>
        <w:bottom w:val="none" w:color="auto" w:sz="0" w:space="0"/>
        <w:right w:val="none" w:color="auto" w:sz="0" w:space="0"/>
      </w:pBdr>
      <w:shd w:val="clear" w:color="auto" w:fill="auto"/>
      <w:jc w:val="both"/>
    </w:pPr>
    <w:rPr>
      <w:rFonts w:ascii="Times New Roman" w:hAnsi="Times New Roman" w:eastAsia="宋体" w:cs="Times New Roman"/>
      <w:kern w:val="2"/>
      <w:sz w:val="21"/>
      <w:szCs w:val="24"/>
      <w:lang w:val="en-US" w:eastAsia="zh-CN" w:bidi="ar-SA"/>
    </w:rPr>
  </w:style>
  <w:style w:type="table" w:customStyle="1" w:styleId="19">
    <w:name w:val="普通表格_c52d7470-88ff-40b1-97ad-43074cc91e38"/>
    <w:unhideWhenUsed/>
    <w:qFormat/>
    <w:uiPriority w:val="99"/>
    <w:tblPr>
      <w:tblCellMar>
        <w:top w:w="0" w:type="dxa"/>
        <w:left w:w="108" w:type="dxa"/>
        <w:bottom w:w="0" w:type="dxa"/>
        <w:right w:w="108" w:type="dxa"/>
      </w:tblCellMar>
    </w:tblPr>
    <w:tcPr>
      <w:shd w:val="clear" w:color="auto" w:fill="auto"/>
    </w:tc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2021-11-20T08:35:29Z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