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545"/>
        <w:gridCol w:w="810"/>
        <w:gridCol w:w="550"/>
        <w:gridCol w:w="47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定兴县永巨水泥制品有限公司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bookmarkStart w:id="30" w:name="_GoBack"/>
            <w:r>
              <w:rPr>
                <w:rFonts w:asciiTheme="minorEastAsia" w:hAnsiTheme="minorEastAsia" w:eastAsiaTheme="minorEastAsia"/>
                <w:sz w:val="20"/>
              </w:rPr>
              <w:t>河北省保定市定兴县肖村乡六里屯村东</w:t>
            </w:r>
            <w:bookmarkEnd w:id="1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河北省保定市定兴县肖村乡六里屯村东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朱如华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18932935560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18932935560@163.com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1208-2021-EnMs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预拌商品混凝土生产和服务所涉及的能源管理活动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2.4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RB/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highlight w:val="none"/>
              </w:rPr>
              <w:t>T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highlight w:val="none"/>
                <w:lang w:val="de-DE"/>
              </w:rPr>
              <w:t xml:space="preserve"> 121-2016 能源管理体系 建材企业(不含水泥、玻璃、陶瓷)认证要求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2021年11月19日 下午至2021年11月20日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1.5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4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孔祥春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ISC-JSZJ-412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保定津森拓新型建材有限公司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2.4</w:t>
            </w:r>
          </w:p>
        </w:tc>
        <w:tc>
          <w:tcPr>
            <w:tcW w:w="164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13521629210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4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5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0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孔祥春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保定津森拓新型建材有限公司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2.4</w:t>
            </w:r>
          </w:p>
        </w:tc>
        <w:tc>
          <w:tcPr>
            <w:tcW w:w="1640" w:type="dxa"/>
            <w:gridSpan w:val="5"/>
            <w:vAlign w:val="center"/>
          </w:tcPr>
          <w:p>
            <w:r>
              <w:rPr>
                <w:sz w:val="20"/>
                <w:lang w:val="de-DE"/>
              </w:rPr>
              <w:t>ISC-JSZJ-412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13521629210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vAlign w:val="center"/>
          </w:tcPr>
          <w:p/>
        </w:tc>
        <w:tc>
          <w:tcPr>
            <w:tcW w:w="1640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0" distR="0">
                  <wp:extent cx="888365" cy="243840"/>
                  <wp:effectExtent l="0" t="0" r="635" b="10160"/>
                  <wp:docPr id="2" name="图片 2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470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7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2021.11.16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470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2021.11.17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60"/>
        <w:gridCol w:w="1150"/>
        <w:gridCol w:w="3490"/>
        <w:gridCol w:w="204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4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-14:00</w:t>
            </w:r>
          </w:p>
        </w:tc>
        <w:tc>
          <w:tcPr>
            <w:tcW w:w="115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49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0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组织所处的环境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相关方的需求和期望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能源管理体系的范围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能源管理体系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领导作用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能源方针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风险和机遇的措施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资源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管理评审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持续改进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对一阶段问题整改情况的确认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综管部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综合部的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目标、能源指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及其实现的策划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能源意识和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信息交流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文件化信息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运行的策划和控制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</w:rPr>
              <w:t>采购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能源绩效和能源管理体系的监视、测量、分析和评价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法律法规要求和其他要求的合规性评价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内部审核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不符合与纠正措施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持续改进</w:t>
            </w: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7.2/7.3/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7.4/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7.5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8.3/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10.2 </w:t>
            </w: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115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第一天结束（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h）</w:t>
            </w:r>
          </w:p>
        </w:tc>
        <w:tc>
          <w:tcPr>
            <w:tcW w:w="20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11-20</w:t>
            </w: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第2天</w:t>
            </w:r>
          </w:p>
        </w:tc>
        <w:tc>
          <w:tcPr>
            <w:tcW w:w="115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0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11-20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8:00-10:00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的岗位、职责和权限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目标、能源指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完成情况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/7.4/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8.1 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的岗位、职责和权限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目标、能源指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完成情况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计量检定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/7.4/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6.6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审核员BC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13:00-14:00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标完成情况；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运行控制</w:t>
            </w: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8.1 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材料供应部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材料供应部的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主要用能设备/材料的采购（含电器开关有无淘汰落后产品）</w:t>
            </w: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审核员BC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巡视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生产线及主要的生产的运行控制、用能设备的运行管理</w:t>
            </w: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.1 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8:30-16:00</w:t>
            </w:r>
          </w:p>
        </w:tc>
        <w:tc>
          <w:tcPr>
            <w:tcW w:w="1150" w:type="dxa"/>
            <w:vMerge w:val="restart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生产部（关注不同班次）</w:t>
            </w:r>
          </w:p>
        </w:tc>
        <w:tc>
          <w:tcPr>
            <w:tcW w:w="3490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生产部的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公司及生产部的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能源目标、指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能源评审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能源绩效参数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能源基准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采集能源数据的策划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运行的策划和控制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设计过程对能源使用及消耗的策划和控制；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能源绩效和能源管理体系的监视、测量、分析和评价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不符合与纠正措施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40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/8.2/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10.1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pacing w:line="300" w:lineRule="exact"/>
            </w:pP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8:30-10:00</w:t>
            </w:r>
          </w:p>
          <w:p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15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9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4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115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9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审核组会议 </w:t>
            </w:r>
          </w:p>
        </w:tc>
        <w:tc>
          <w:tcPr>
            <w:tcW w:w="20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与管理者代表沟通</w:t>
            </w: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115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9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0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审核发现宣告</w:t>
            </w: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15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9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20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11月20日12:00-13:00午餐+休息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923C69"/>
    <w:rsid w:val="0AD718F4"/>
    <w:rsid w:val="20FF6CCE"/>
    <w:rsid w:val="2C84239F"/>
    <w:rsid w:val="49654FD9"/>
    <w:rsid w:val="7CD249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2021-11-20T14:29:36Z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