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119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上接头表面硬度测试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230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6.67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val="en-US" w:eastAsia="zh-CN"/>
              </w:rPr>
              <w:t>里氏</w:t>
            </w:r>
            <w:r>
              <w:rPr>
                <w:rFonts w:hint="eastAsia"/>
              </w:rPr>
              <w:t>硬度计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127~651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HB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=0.5</w:t>
            </w:r>
            <w:r>
              <w:rPr>
                <w:rFonts w:hint="eastAsia"/>
              </w:rPr>
              <w:t>HB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</w:rPr>
              <w:t>±2%H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XDF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Times New Roman" w:hAnsi="Times New Roman" w:cs="Times New Roman"/>
                <w:szCs w:val="21"/>
              </w:rPr>
              <w:t>《上接头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GB/T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17394.1-2014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金属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材料 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氏硬度试验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 第一部分：试验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方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法。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刘丽薇，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</w:rPr>
              <w:t>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</w:rPr>
              <w:t>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</w:rPr>
              <w:t>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</w:rPr>
              <w:t>上接头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过程监视统计质控图》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auto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color w:val="auto"/>
              </w:rPr>
              <w:t>(如果有)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  <w:u w:val="none"/>
          <w:lang w:eastAsia="zh-CN"/>
        </w:rPr>
        <w:drawing>
          <wp:inline distT="0" distB="0" distL="114300" distR="114300">
            <wp:extent cx="448310" cy="224155"/>
            <wp:effectExtent l="0" t="0" r="8890" b="4445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49275" cy="242570"/>
            <wp:effectExtent l="0" t="0" r="14605" b="1270"/>
            <wp:docPr id="33" name="图片 33" descr="C:/Users/A/AppData/Local/Temp/picturecompress_2021112614134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/Users/A/AppData/Local/Temp/picturecompress_20211126141348/output_1.jpgoutput_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70785" t="44783" r="13901" b="50145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6.25pt;margin-top:13.2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99.9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31A47"/>
    <w:rsid w:val="230561F0"/>
    <w:rsid w:val="37EE111F"/>
    <w:rsid w:val="38FD1B5D"/>
    <w:rsid w:val="3D356F98"/>
    <w:rsid w:val="42E70D44"/>
    <w:rsid w:val="458F270D"/>
    <w:rsid w:val="5D79168D"/>
    <w:rsid w:val="638B7F88"/>
    <w:rsid w:val="6DF921BE"/>
    <w:rsid w:val="774C3B21"/>
    <w:rsid w:val="77FA4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2021-11-26T08:11:48Z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0FB471B574044E3D98BE37FABE4AF90A</vt:lpwstr>
  </property>
</Properties>
</file>