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1204-2021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4"/>
        <w:gridCol w:w="1198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5054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隆赫电气设备有限公司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王建发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现场抽查</w:t>
            </w:r>
            <w:r>
              <w:rPr>
                <w:rFonts w:hint="eastAsia"/>
                <w:bCs/>
                <w:szCs w:val="21"/>
                <w:lang w:val="en-US" w:eastAsia="zh-CN"/>
              </w:rPr>
              <w:t>生产技术部在用的</w:t>
            </w:r>
            <w:r>
              <w:rPr>
                <w:rFonts w:hint="eastAsia"/>
                <w:bCs/>
                <w:szCs w:val="21"/>
              </w:rPr>
              <w:t xml:space="preserve">编号为 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>SH/T3411-1999</w:t>
            </w:r>
            <w:r>
              <w:rPr>
                <w:rFonts w:hint="eastAsia" w:ascii="宋体" w:hAnsi="宋体"/>
                <w:color w:val="000000"/>
                <w:spacing w:val="10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石油化工泵用过滤器选用、检验及验收</w:t>
            </w:r>
            <w:r>
              <w:rPr>
                <w:rFonts w:hint="eastAsia" w:ascii="宋体" w:hAnsi="宋体"/>
                <w:color w:val="000000"/>
                <w:spacing w:val="10"/>
                <w:szCs w:val="21"/>
                <w:lang w:eastAsia="zh-CN"/>
              </w:rPr>
              <w:t>》</w:t>
            </w:r>
            <w:r>
              <w:rPr>
                <w:rFonts w:hint="eastAsia"/>
                <w:bCs/>
                <w:szCs w:val="21"/>
              </w:rPr>
              <w:t>等文件，</w:t>
            </w:r>
            <w:r>
              <w:rPr>
                <w:rFonts w:hint="eastAsia"/>
                <w:bCs/>
                <w:szCs w:val="21"/>
                <w:lang w:val="en-US" w:eastAsia="zh-CN"/>
              </w:rPr>
              <w:t>已作废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不符合GB/T19022-20036.2.1程序 条款的要求。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bCs/>
                <w:szCs w:val="21"/>
                <w:lang w:val="en-US" w:eastAsia="zh-CN"/>
              </w:rPr>
              <w:t>不符合GB/T19022-20036.2.1程序 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</w:t>
            </w:r>
            <w:r>
              <w:drawing>
                <wp:inline distT="0" distB="0" distL="114300" distR="114300">
                  <wp:extent cx="492125" cy="370840"/>
                  <wp:effectExtent l="15240" t="20955" r="26035" b="2730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 l="40503" t="67867" r="49380" b="21284"/>
                          <a:stretch>
                            <a:fillRect/>
                          </a:stretch>
                        </pic:blipFill>
                        <pic:spPr>
                          <a:xfrm rot="10500000">
                            <a:off x="0" y="0"/>
                            <a:ext cx="4921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>
              <w:drawing>
                <wp:inline distT="0" distB="0" distL="114300" distR="114300">
                  <wp:extent cx="374650" cy="282575"/>
                  <wp:effectExtent l="11430" t="15875" r="20320" b="1905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 l="40503" t="67867" r="49380" b="21284"/>
                          <a:stretch>
                            <a:fillRect/>
                          </a:stretch>
                        </pic:blipFill>
                        <pic:spPr>
                          <a:xfrm rot="10500000">
                            <a:off x="0" y="0"/>
                            <a:ext cx="37465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1.对企业在用标准进行检查，及时更新。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2.加强管理，杜绝类似问题的发生。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drawing>
                <wp:inline distT="0" distB="0" distL="114300" distR="114300">
                  <wp:extent cx="655955" cy="494030"/>
                  <wp:effectExtent l="20320" t="27940" r="22225" b="3683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 l="40503" t="67867" r="49380" b="21284"/>
                          <a:stretch>
                            <a:fillRect/>
                          </a:stretch>
                        </pic:blipFill>
                        <pic:spPr>
                          <a:xfrm rot="10500000">
                            <a:off x="0" y="0"/>
                            <a:ext cx="65595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4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2021.11.20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673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2021-11-19T13:13:46Z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D6248AA177654668A8CA0BED340BB1AB</vt:lpwstr>
  </property>
</Properties>
</file>