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0267-2019-O-2021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河北烽煊采暖设备制造有限公司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河北烽煊采暖设备制造有限公司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晋州市通达路</w:t>
            </w:r>
            <w:bookmarkEnd w:id="6"/>
          </w:p>
        </w:tc>
        <w:tc>
          <w:tcPr>
            <w:tcW w:w="1242" w:type="dxa"/>
            <w:vMerge w:val="restart"/>
            <w:vAlign w:val="center"/>
          </w:tcPr>
          <w:p>
            <w:r>
              <w:rPr>
                <w:rFonts w:hint="eastAsia"/>
              </w:rPr>
              <w:t>邮编</w:t>
            </w:r>
          </w:p>
        </w:tc>
        <w:tc>
          <w:tcPr>
            <w:tcW w:w="1771" w:type="dxa"/>
          </w:tcPr>
          <w:p>
            <w:bookmarkStart w:id="7" w:name="注册邮编"/>
            <w:r>
              <w:t>052260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河北省晋州市通达路</w:t>
            </w:r>
            <w:bookmarkEnd w:id="8"/>
          </w:p>
        </w:tc>
        <w:tc>
          <w:tcPr>
            <w:tcW w:w="1242" w:type="dxa"/>
            <w:vMerge w:val="continue"/>
            <w:vAlign w:val="center"/>
          </w:tcPr>
          <w:p/>
        </w:tc>
        <w:tc>
          <w:tcPr>
            <w:tcW w:w="1771" w:type="dxa"/>
          </w:tcPr>
          <w:p>
            <w:bookmarkStart w:id="9" w:name="办公邮编"/>
            <w:r>
              <w:t>052260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韩帅</w:t>
            </w:r>
            <w:bookmarkEnd w:id="10"/>
          </w:p>
        </w:tc>
        <w:tc>
          <w:tcPr>
            <w:tcW w:w="1313" w:type="dxa"/>
            <w:vAlign w:val="center"/>
          </w:tcPr>
          <w:p>
            <w:r>
              <w:rPr>
                <w:rFonts w:hint="eastAsia"/>
              </w:rPr>
              <w:t>电话.</w:t>
            </w:r>
          </w:p>
        </w:tc>
        <w:tc>
          <w:tcPr>
            <w:tcW w:w="2180" w:type="dxa"/>
            <w:vAlign w:val="center"/>
          </w:tcPr>
          <w:p>
            <w:bookmarkStart w:id="11" w:name="联系人电话"/>
            <w:r>
              <w:t>13931115179 0311-84316229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石培轻</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赵军峰</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color w:val="000000"/>
              </w:rPr>
              <w:t>顾客需求</w:t>
            </w:r>
            <w:r>
              <w:rPr>
                <w:rFonts w:hint="eastAsia"/>
                <w:color w:val="000000"/>
                <w:lang w:val="en-US" w:eastAsia="zh-CN"/>
              </w:rPr>
              <w:t>确定</w:t>
            </w:r>
            <w:r>
              <w:rPr>
                <w:rFonts w:hint="eastAsia"/>
                <w:color w:val="000000"/>
              </w:rPr>
              <w:t>-合同评审-签订合同-产品采购-发货</w:t>
            </w:r>
            <w:r>
              <w:rPr>
                <w:rFonts w:hint="eastAsia"/>
                <w:color w:val="000000"/>
                <w:lang w:val="en-US" w:eastAsia="zh-CN"/>
              </w:rPr>
              <w:t>至指定地点</w:t>
            </w:r>
            <w:r>
              <w:rPr>
                <w:rFonts w:hint="eastAsia"/>
                <w:color w:val="000000"/>
              </w:rPr>
              <w:t>-客户验收-售后服务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2021年11月21日 上午至2021年11月21日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60"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二</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河北省晋州市通达路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w:t>
            </w:r>
          </w:p>
          <w:p>
            <w:pPr>
              <w:rPr>
                <w:rFonts w:ascii="宋体"/>
                <w:b/>
                <w:color w:val="0000FF"/>
                <w:szCs w:val="21"/>
              </w:rPr>
            </w:pPr>
            <w:r>
              <w:rPr>
                <w:rFonts w:hint="eastAsia" w:ascii="宋体"/>
                <w:b/>
                <w:color w:val="0000FF"/>
                <w:szCs w:val="21"/>
                <w:lang w:eastAsia="zh-CN"/>
              </w:rPr>
              <w:t>□</w:t>
            </w:r>
            <w:r>
              <w:rPr>
                <w:rFonts w:hint="eastAsia" w:ascii="宋体"/>
                <w:b/>
                <w:color w:val="0000FF"/>
                <w:szCs w:val="21"/>
              </w:rPr>
              <w:t>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常压民用采暖炉、电暖器、暖气片、水暖管件、静态蓄热式电暖器（固体蓄热式电暖器）、空气源热泵冷暖机组、地源热泵冷暖机组、空气源热泵热风机、燃气壁挂炉、配电箱（柜）、太阳能及石墨烯供暖设备的销售及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29.08.03;29.10.07;29.11.04</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w:t>
            </w:r>
            <w:r>
              <w:rPr>
                <w:rFonts w:hint="eastAsia"/>
                <w:lang w:val="en-US" w:eastAsia="zh-CN"/>
              </w:rPr>
              <w:t>期</w:t>
            </w:r>
            <w:r>
              <w:rPr>
                <w:rFonts w:hint="eastAsia"/>
              </w:rPr>
              <w:t>至</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44"/>
        <w:gridCol w:w="1482"/>
        <w:gridCol w:w="654"/>
        <w:gridCol w:w="2991"/>
        <w:gridCol w:w="19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1544" w:type="dxa"/>
            <w:shd w:val="clear" w:color="auto" w:fill="F3F3F3"/>
            <w:tcMar>
              <w:left w:w="57" w:type="dxa"/>
              <w:right w:w="57" w:type="dxa"/>
            </w:tcMar>
          </w:tcPr>
          <w:p>
            <w:r>
              <w:rPr>
                <w:rFonts w:hint="eastAsia"/>
              </w:rPr>
              <w:t>组织名称及注册场所地址</w:t>
            </w:r>
          </w:p>
        </w:tc>
        <w:tc>
          <w:tcPr>
            <w:tcW w:w="1482" w:type="dxa"/>
            <w:shd w:val="clear" w:color="auto" w:fill="F3F3F3"/>
          </w:tcPr>
          <w:p>
            <w:r>
              <w:rPr>
                <w:rFonts w:hint="eastAsia"/>
              </w:rPr>
              <w:t>经营场所的地址</w:t>
            </w:r>
          </w:p>
        </w:tc>
        <w:tc>
          <w:tcPr>
            <w:tcW w:w="654" w:type="dxa"/>
            <w:shd w:val="clear" w:color="auto" w:fill="F3F3F3"/>
            <w:tcMar>
              <w:left w:w="57" w:type="dxa"/>
              <w:right w:w="57" w:type="dxa"/>
            </w:tcMar>
          </w:tcPr>
          <w:p>
            <w:r>
              <w:rPr>
                <w:rFonts w:hint="eastAsia"/>
              </w:rPr>
              <w:t>员工人数</w:t>
            </w:r>
          </w:p>
        </w:tc>
        <w:tc>
          <w:tcPr>
            <w:tcW w:w="2991" w:type="dxa"/>
            <w:shd w:val="clear" w:color="auto" w:fill="F3F3F3"/>
            <w:tcMar>
              <w:left w:w="57" w:type="dxa"/>
              <w:right w:w="57" w:type="dxa"/>
            </w:tcMar>
          </w:tcPr>
          <w:p>
            <w:r>
              <w:rPr>
                <w:rFonts w:hint="eastAsia"/>
              </w:rPr>
              <w:t>审核范围（产品和过程）</w:t>
            </w:r>
          </w:p>
        </w:tc>
        <w:tc>
          <w:tcPr>
            <w:tcW w:w="190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1544" w:type="dxa"/>
            <w:vAlign w:val="top"/>
          </w:tcPr>
          <w:p>
            <w:pPr>
              <w:spacing w:before="40" w:after="40"/>
              <w:rPr>
                <w:rFonts w:hint="eastAsia" w:ascii="Times New Roman" w:hAnsi="Times New Roman" w:eastAsia="宋体" w:cs="Times New Roman"/>
                <w:kern w:val="2"/>
                <w:sz w:val="21"/>
                <w:szCs w:val="21"/>
                <w:lang w:val="en-US" w:eastAsia="zh-CN" w:bidi="ar-SA"/>
              </w:rPr>
            </w:pPr>
            <w:r>
              <w:rPr>
                <w:sz w:val="21"/>
                <w:szCs w:val="21"/>
              </w:rPr>
              <w:t>河北烽煊采暖设备制造有限公司</w:t>
            </w:r>
            <w:r>
              <w:rPr>
                <w:rFonts w:hint="eastAsia"/>
                <w:sz w:val="21"/>
                <w:szCs w:val="21"/>
                <w:lang w:val="en-US" w:eastAsia="zh-CN"/>
              </w:rPr>
              <w:t>/</w:t>
            </w:r>
            <w:r>
              <w:rPr>
                <w:rFonts w:asciiTheme="minorEastAsia" w:hAnsiTheme="minorEastAsia" w:eastAsiaTheme="minorEastAsia"/>
                <w:sz w:val="20"/>
              </w:rPr>
              <w:t>晋州市通达路</w:t>
            </w:r>
          </w:p>
        </w:tc>
        <w:tc>
          <w:tcPr>
            <w:tcW w:w="1482" w:type="dxa"/>
            <w:vAlign w:val="top"/>
          </w:tcPr>
          <w:p>
            <w:pPr>
              <w:spacing w:before="40" w:after="40"/>
              <w:rPr>
                <w:rFonts w:hint="eastAsia" w:ascii="Times New Roman" w:hAnsi="Times New Roman" w:eastAsia="黑体" w:cs="Times New Roman"/>
                <w:kern w:val="2"/>
                <w:sz w:val="21"/>
                <w:szCs w:val="21"/>
                <w:lang w:val="de-DE" w:eastAsia="zh-CN" w:bidi="ar-SA"/>
              </w:rPr>
            </w:pPr>
            <w:r>
              <w:rPr>
                <w:rFonts w:asciiTheme="minorEastAsia" w:hAnsiTheme="minorEastAsia" w:eastAsiaTheme="minorEastAsia"/>
                <w:sz w:val="20"/>
              </w:rPr>
              <w:t>河北省晋州市通达路</w:t>
            </w:r>
          </w:p>
        </w:tc>
        <w:tc>
          <w:tcPr>
            <w:tcW w:w="654"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991" w:type="dxa"/>
            <w:vAlign w:val="center"/>
          </w:tcPr>
          <w:p>
            <w:pPr>
              <w:pStyle w:val="20"/>
              <w:rPr>
                <w:rFonts w:ascii="Times New Roman" w:hAnsi="Times New Roman" w:eastAsia="黑体" w:cs="Arial"/>
                <w:kern w:val="2"/>
                <w:sz w:val="21"/>
                <w:szCs w:val="21"/>
                <w:lang w:val="en-US" w:eastAsia="ja-JP" w:bidi="ar-SA"/>
              </w:rPr>
            </w:pPr>
            <w:r>
              <w:t>常压民用采暖炉、电暖器、暖气片、水暖管件、静态蓄热式电暖器（固体蓄热式电暖器）、空气源热泵冷暖机组、地源热泵冷暖机组、空气源热泵热风机、燃气壁挂炉、配电箱（柜）、太阳能及石墨烯供暖设备的销售</w:t>
            </w:r>
          </w:p>
        </w:tc>
        <w:tc>
          <w:tcPr>
            <w:tcW w:w="1906" w:type="dxa"/>
            <w:vAlign w:val="center"/>
          </w:tcPr>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21"/>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521" w:type="dxa"/>
            <w:vAlign w:val="center"/>
          </w:tcPr>
          <w:p>
            <w:r>
              <w:rPr>
                <w:rFonts w:hint="eastAsia"/>
              </w:rPr>
              <w:t>审核员注册证书号</w:t>
            </w:r>
          </w:p>
        </w:tc>
        <w:tc>
          <w:tcPr>
            <w:tcW w:w="2528"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521" w:type="dxa"/>
            <w:vAlign w:val="center"/>
          </w:tcPr>
          <w:p>
            <w:r>
              <w:t>2020-N1OHSMS-3022240</w:t>
            </w:r>
          </w:p>
        </w:tc>
        <w:tc>
          <w:tcPr>
            <w:tcW w:w="2528" w:type="dxa"/>
            <w:vAlign w:val="center"/>
          </w:tcPr>
          <w:p>
            <w:r>
              <w:t>29.08.03,29.10.07,29.11.04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521" w:type="dxa"/>
            <w:vAlign w:val="center"/>
          </w:tcPr>
          <w:p>
            <w:r>
              <w:rPr>
                <w:rFonts w:hint="eastAsia"/>
              </w:rPr>
              <w:t>工作单位</w:t>
            </w:r>
          </w:p>
        </w:tc>
        <w:tc>
          <w:tcPr>
            <w:tcW w:w="2528"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default" w:eastAsia="宋体"/>
                <w:lang w:val="en-US" w:eastAsia="zh-CN"/>
              </w:rPr>
            </w:pPr>
            <w:r>
              <w:rPr>
                <w:rFonts w:hint="eastAsia"/>
                <w:lang w:val="en-US" w:eastAsia="zh-CN"/>
              </w:rPr>
              <w:t>/</w:t>
            </w:r>
          </w:p>
        </w:tc>
        <w:tc>
          <w:tcPr>
            <w:tcW w:w="1089" w:type="dxa"/>
            <w:vAlign w:val="center"/>
          </w:tcPr>
          <w:p/>
        </w:tc>
        <w:tc>
          <w:tcPr>
            <w:tcW w:w="711" w:type="dxa"/>
            <w:vAlign w:val="center"/>
          </w:tcPr>
          <w:p/>
        </w:tc>
        <w:tc>
          <w:tcPr>
            <w:tcW w:w="3521" w:type="dxa"/>
            <w:vAlign w:val="center"/>
          </w:tcPr>
          <w:p/>
        </w:tc>
        <w:tc>
          <w:tcPr>
            <w:tcW w:w="2528"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上次审核未发现不符合项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default"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138430</wp:posOffset>
                  </wp:positionH>
                  <wp:positionV relativeFrom="paragraph">
                    <wp:posOffset>372110</wp:posOffset>
                  </wp:positionV>
                  <wp:extent cx="910590" cy="43815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10590" cy="43815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2021年11月21日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ascii="Times New Roman" w:hAnsi="Times New Roman" w:cs="Times New Roman"/>
                <w:sz w:val="21"/>
                <w:szCs w:val="21"/>
              </w:rPr>
              <w:t>科学管理，遵守法规，预防污染，持续改进，为社会及员工提供一个健康、安全的工作生活环境，提供用户满意的优质产品，创国内一流品牌</w:t>
            </w:r>
            <w:r>
              <w:rPr>
                <w:rFonts w:hint="eastAsia" w:ascii="Times New Roman" w:hAnsi="Times New Roman" w:cs="Times New Roman"/>
                <w:sz w:val="21"/>
                <w:szCs w:val="21"/>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刘伟、关英超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职业健康安全目标：</w:t>
            </w:r>
          </w:p>
          <w:p>
            <w:pPr>
              <w:rPr>
                <w:rFonts w:hint="eastAsia" w:eastAsia="宋体"/>
                <w:sz w:val="21"/>
                <w:szCs w:val="21"/>
                <w:lang w:val="en-US" w:eastAsia="zh-CN"/>
              </w:rPr>
            </w:pPr>
            <w:r>
              <w:rPr>
                <w:rFonts w:hint="eastAsia" w:cs="宋体"/>
              </w:rPr>
              <w:t>轻伤事故少于3起/年；无火灾及重大安全事故发生</w:t>
            </w:r>
            <w:r>
              <w:rPr>
                <w:rFonts w:hint="eastAsia"/>
                <w:b w:val="0"/>
                <w:bCs w:val="0"/>
                <w:sz w:val="21"/>
                <w:szCs w:val="21"/>
                <w:lang w:eastAsia="zh-CN"/>
              </w:rPr>
              <w:t>。</w:t>
            </w:r>
          </w:p>
          <w:p>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2000</w:t>
            </w:r>
            <w:r>
              <w:rPr>
                <w:rFonts w:hint="eastAsia"/>
                <w:u w:val="single"/>
              </w:rPr>
              <w:t xml:space="preserve">    </w:t>
            </w:r>
            <w:r>
              <w:rPr>
                <w:rFonts w:hint="eastAsia"/>
              </w:rPr>
              <w:t>平方米；</w:t>
            </w:r>
            <w:r>
              <w:rPr>
                <w:rFonts w:hint="eastAsia"/>
                <w:lang w:val="en-US" w:eastAsia="zh-CN"/>
              </w:rPr>
              <w:t>办公室2</w:t>
            </w:r>
            <w:r>
              <w:rPr>
                <w:rFonts w:hint="eastAsia"/>
                <w:u w:val="single"/>
                <w:lang w:val="en-US" w:eastAsia="zh-CN"/>
              </w:rPr>
              <w:t xml:space="preserve">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Times New Roman" w:hAnsi="Times New Roman" w:eastAsia="宋体" w:cs="Times New Roman"/>
                <w:sz w:val="21"/>
                <w:szCs w:val="21"/>
                <w:lang w:eastAsia="zh-CN"/>
              </w:rPr>
              <w:t>电话，电脑、打印机、复印机、空调、办公桌椅</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rPr>
              <w:t>¨</w:t>
            </w:r>
            <w:r>
              <w:rPr>
                <w:rFonts w:hint="eastAsia" w:ascii="Wingdings" w:hAnsi="Wingdings"/>
                <w:lang w:val="en-US" w:eastAsia="zh-CN"/>
              </w:rPr>
              <w:t>产品运输</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pPr>
            <w:r>
              <w:rPr>
                <w:rFonts w:hint="eastAsia"/>
              </w:rPr>
              <w:t>对外部供方的控制：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rPr>
              <w:t>交通意外</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eastAsia"/>
              </w:rPr>
            </w:pPr>
            <w:r>
              <w:rPr>
                <w:rFonts w:hint="eastAsia"/>
              </w:rPr>
              <w:t>制订的应急预案包括：</w:t>
            </w:r>
            <w:r>
              <w:rPr>
                <w:rFonts w:hint="eastAsia" w:ascii="Wingdings" w:hAnsi="Wingdings"/>
              </w:rPr>
              <w:t>¨</w:t>
            </w:r>
            <w:r>
              <w:rPr>
                <w:rFonts w:hint="eastAsia"/>
              </w:rPr>
              <w:t xml:space="preserve">火灾控制 </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4</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2021年4月4-5日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0日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bookmarkStart w:id="32" w:name="_GoBack"/>
      <w:bookmarkEnd w:id="32"/>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2D451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31</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2021-11-29T04:17:01Z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