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广安市中策资源综合利用有限公司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潘海平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left="709" w:leftChars="200" w:hanging="289" w:hangingChars="137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5" w:name="_GoBack"/>
            <w:r>
              <w:rPr>
                <w:rFonts w:hint="eastAsia" w:ascii="方正仿宋简体" w:eastAsia="方正仿宋简体"/>
                <w:b/>
                <w:lang w:val="en-US" w:eastAsia="zh-CN"/>
              </w:rPr>
              <w:t>查：</w:t>
            </w:r>
            <w:r>
              <w:rPr>
                <w:rFonts w:hint="eastAsia" w:ascii="方正仿宋简体" w:eastAsia="方正仿宋简体"/>
                <w:b/>
              </w:rPr>
              <w:t>现场未能提供相应的职业病体检报告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不符合GB/T 45001-2020 idt </w:t>
            </w:r>
            <w:r>
              <w:rPr>
                <w:rFonts w:hint="eastAsia" w:ascii="方正仿宋简体" w:eastAsia="方正仿宋简体"/>
                <w:b/>
              </w:rPr>
              <w:t>ISO45001：2018标准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9.1.1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条款：“</w:t>
            </w:r>
            <w:r>
              <w:rPr>
                <w:rFonts w:hint="eastAsia" w:ascii="方正仿宋简体" w:eastAsia="方正仿宋简体"/>
                <w:b/>
              </w:rPr>
              <w:t>组织应保留适当的文件化信息：——作为监视、测量、分析和评价绩效的结果的证据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”。</w:t>
            </w:r>
            <w:bookmarkEnd w:id="1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380D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2021-11-22T07:41:05Z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