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jc w:val="center"/>
      </w:pPr>
    </w:p>
    <w:p>
      <w:pPr>
        <w:jc w:val="center"/>
      </w:pPr>
    </w:p>
    <w:p>
      <w:pPr>
        <w:jc w:val="center"/>
      </w:pPr>
    </w:p>
    <w:p>
      <w:pPr>
        <w:jc w:val="center"/>
      </w:pPr>
    </w:p>
    <w:p>
      <w:pPr>
        <w:jc w:val="center"/>
      </w:pPr>
    </w:p>
    <w:p>
      <w:pPr>
        <w:jc w:val="center"/>
      </w:pPr>
    </w:p>
    <w:p>
      <w:pPr>
        <w:jc w:val="center"/>
      </w:pPr>
      <w:r>
        <w:drawing>
          <wp:anchor distT="0" distB="0" distL="114300" distR="114300" simplePos="0" relativeHeight="251659264" behindDoc="1" locked="0" layoutInCell="1" allowOverlap="1">
            <wp:simplePos x="0" y="0"/>
            <wp:positionH relativeFrom="column">
              <wp:posOffset>1845945</wp:posOffset>
            </wp:positionH>
            <wp:positionV relativeFrom="paragraph">
              <wp:posOffset>5715</wp:posOffset>
            </wp:positionV>
            <wp:extent cx="1494155" cy="1499870"/>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pPr>
    </w:p>
    <w:p/>
    <w:p>
      <w:pPr>
        <w:spacing w:line="0" w:lineRule="atLeast"/>
        <w:rPr>
          <w:rFonts w:ascii="宋体" w:hAnsi="宋体"/>
          <w:sz w:val="48"/>
        </w:rPr>
      </w:pPr>
    </w:p>
    <w:p>
      <w:pPr>
        <w:spacing w:line="0" w:lineRule="atLeast"/>
        <w:rPr>
          <w:rFonts w:ascii="宋体" w:hAnsi="宋体"/>
          <w:sz w:val="48"/>
        </w:rPr>
      </w:pPr>
    </w:p>
    <w:p>
      <w:pPr>
        <w:spacing w:line="0" w:lineRule="atLeast"/>
        <w:rPr>
          <w:rFonts w:ascii="宋体" w:hAnsi="宋体"/>
          <w:sz w:val="24"/>
          <w:szCs w:val="15"/>
        </w:rPr>
      </w:pPr>
    </w:p>
    <w:p>
      <w:pPr>
        <w:spacing w:line="500" w:lineRule="exact"/>
        <w:rPr>
          <w:rFonts w:ascii="宋体" w:hAnsi="宋体"/>
          <w:sz w:val="40"/>
          <w:szCs w:val="21"/>
        </w:rPr>
      </w:pPr>
    </w:p>
    <w:p>
      <w:pPr>
        <w:adjustRightInd w:val="0"/>
        <w:snapToGrid w:val="0"/>
        <w:spacing w:line="500" w:lineRule="exact"/>
        <w:ind w:firstLine="57"/>
        <w:jc w:val="center"/>
        <w:rPr>
          <w:rFonts w:ascii="宋体" w:hAnsi="宋体"/>
          <w:b/>
          <w:sz w:val="44"/>
          <w:szCs w:val="44"/>
        </w:rPr>
      </w:pPr>
      <w:r>
        <w:rPr>
          <w:rFonts w:hint="eastAsia" w:ascii="宋体" w:hAnsi="宋体"/>
          <w:b/>
          <w:sz w:val="44"/>
          <w:szCs w:val="44"/>
        </w:rPr>
        <w:t>测量管理体系</w:t>
      </w:r>
    </w:p>
    <w:p>
      <w:pPr>
        <w:adjustRightInd w:val="0"/>
        <w:snapToGrid w:val="0"/>
        <w:spacing w:line="400" w:lineRule="exact"/>
        <w:ind w:firstLine="57"/>
        <w:jc w:val="center"/>
        <w:rPr>
          <w:rFonts w:ascii="宋体" w:hAnsi="宋体"/>
          <w:b/>
          <w:bCs/>
          <w:sz w:val="32"/>
          <w:szCs w:val="32"/>
        </w:rPr>
      </w:pPr>
      <w:r>
        <w:rPr>
          <w:rFonts w:hint="eastAsia" w:ascii="宋体" w:hAnsi="宋体"/>
          <w:b/>
          <w:bCs/>
          <w:sz w:val="32"/>
          <w:szCs w:val="32"/>
        </w:rPr>
        <w:t>（</w:t>
      </w:r>
      <w:bookmarkStart w:id="0" w:name="审核依据"/>
      <w:r>
        <w:rPr>
          <w:rFonts w:hint="eastAsia" w:ascii="宋体" w:hAnsi="宋体"/>
          <w:b/>
          <w:bCs/>
          <w:sz w:val="32"/>
          <w:szCs w:val="32"/>
        </w:rPr>
        <w:t>GB/T19022-2003/ISO10012:2003</w:t>
      </w:r>
      <w:bookmarkEnd w:id="0"/>
      <w:r>
        <w:rPr>
          <w:rFonts w:hint="eastAsia" w:ascii="宋体" w:hAnsi="宋体"/>
          <w:b/>
          <w:bCs/>
          <w:sz w:val="32"/>
          <w:szCs w:val="32"/>
        </w:rPr>
        <w:t>）</w:t>
      </w:r>
    </w:p>
    <w:p>
      <w:pPr>
        <w:widowControl/>
        <w:jc w:val="center"/>
        <w:rPr>
          <w:rFonts w:ascii="宋体" w:hAnsi="宋体"/>
          <w:b/>
          <w:sz w:val="48"/>
          <w:szCs w:val="48"/>
        </w:rPr>
      </w:pPr>
      <w:r>
        <w:rPr>
          <w:rFonts w:hint="eastAsia" w:ascii="宋体" w:hAnsi="宋体"/>
          <w:b/>
          <w:sz w:val="48"/>
          <w:szCs w:val="48"/>
        </w:rPr>
        <w:t>监督审核报告</w:t>
      </w:r>
    </w:p>
    <w:p>
      <w:pPr>
        <w:widowControl/>
        <w:rPr>
          <w:rFonts w:ascii="宋体" w:hAnsi="宋体"/>
          <w:b/>
          <w:sz w:val="52"/>
          <w:szCs w:val="52"/>
        </w:rPr>
      </w:pPr>
    </w:p>
    <w:p>
      <w:pPr>
        <w:widowControl/>
        <w:rPr>
          <w:rFonts w:ascii="宋体" w:hAnsi="宋体"/>
          <w:b/>
          <w:sz w:val="52"/>
          <w:szCs w:val="52"/>
        </w:rPr>
      </w:pPr>
    </w:p>
    <w:p>
      <w:pPr>
        <w:widowControl/>
        <w:rPr>
          <w:rFonts w:ascii="宋体" w:hAnsi="宋体"/>
          <w:b/>
          <w:sz w:val="52"/>
          <w:szCs w:val="52"/>
        </w:rPr>
      </w:pPr>
    </w:p>
    <w:p>
      <w:pPr>
        <w:spacing w:line="365" w:lineRule="exact"/>
        <w:rPr>
          <w:rFonts w:ascii="宋体" w:hAnsi="宋体"/>
          <w:sz w:val="32"/>
          <w:szCs w:val="24"/>
        </w:rPr>
      </w:pPr>
    </w:p>
    <w:p>
      <w:pPr>
        <w:spacing w:line="365" w:lineRule="exact"/>
        <w:rPr>
          <w:rFonts w:ascii="宋体" w:hAnsi="宋体"/>
          <w:sz w:val="32"/>
        </w:rPr>
      </w:pPr>
    </w:p>
    <w:p>
      <w:pPr>
        <w:spacing w:line="360" w:lineRule="auto"/>
        <w:jc w:val="left"/>
        <w:rPr>
          <w:rFonts w:ascii="宋体" w:hAnsi="宋体"/>
          <w:sz w:val="24"/>
          <w:u w:val="single"/>
        </w:rPr>
      </w:pPr>
      <w:r>
        <w:rPr>
          <w:rFonts w:hint="eastAsia" w:ascii="宋体" w:hAnsi="宋体"/>
          <w:sz w:val="32"/>
        </w:rPr>
        <w:t>认 证 企 业</w:t>
      </w:r>
      <w:r>
        <w:rPr>
          <w:rFonts w:hint="eastAsia" w:ascii="MS PGothic" w:hAnsi="MS PGothic"/>
          <w:sz w:val="32"/>
        </w:rPr>
        <w:t>：</w:t>
      </w:r>
      <w:bookmarkStart w:id="1" w:name="组织名称"/>
      <w:r>
        <w:rPr>
          <w:rFonts w:ascii="宋体" w:hAnsi="宋体"/>
          <w:b/>
          <w:bCs/>
          <w:sz w:val="32"/>
          <w:szCs w:val="32"/>
          <w:u w:val="single"/>
        </w:rPr>
        <w:t>徐州徐工汽车制造有限公司</w:t>
      </w:r>
      <w:bookmarkEnd w:id="1"/>
    </w:p>
    <w:p>
      <w:pPr>
        <w:spacing w:line="360" w:lineRule="auto"/>
        <w:jc w:val="left"/>
        <w:rPr>
          <w:rFonts w:hint="default" w:ascii="宋体" w:hAnsi="宋体" w:eastAsiaTheme="minorEastAsia"/>
          <w:spacing w:val="32"/>
          <w:sz w:val="32"/>
          <w:u w:val="single"/>
          <w:lang w:val="en-US" w:eastAsia="zh-CN"/>
        </w:rPr>
      </w:pPr>
      <w:r>
        <w:rPr>
          <w:rFonts w:hint="eastAsia" w:ascii="宋体" w:hAnsi="宋体"/>
          <w:spacing w:val="80"/>
          <w:sz w:val="32"/>
        </w:rPr>
        <w:t>编   号</w:t>
      </w:r>
      <w:r>
        <w:rPr>
          <w:rFonts w:hint="eastAsia" w:ascii="宋体" w:hAnsi="宋体"/>
          <w:sz w:val="32"/>
        </w:rPr>
        <w:t>：</w:t>
      </w:r>
      <w:bookmarkStart w:id="2" w:name="合同编号"/>
      <w:r>
        <w:rPr>
          <w:rFonts w:hint="eastAsia" w:ascii="宋体" w:hAnsi="宋体"/>
          <w:sz w:val="32"/>
          <w:u w:val="single"/>
        </w:rPr>
        <w:t>0233-2020-2021</w:t>
      </w:r>
      <w:bookmarkEnd w:id="2"/>
      <w:r>
        <w:rPr>
          <w:rFonts w:hint="eastAsia" w:ascii="宋体" w:hAnsi="宋体"/>
          <w:sz w:val="32"/>
          <w:u w:val="single"/>
          <w:lang w:val="en-US" w:eastAsia="zh-CN"/>
        </w:rPr>
        <w:t xml:space="preserve">         </w:t>
      </w:r>
    </w:p>
    <w:p>
      <w:pPr>
        <w:spacing w:line="360" w:lineRule="auto"/>
        <w:jc w:val="left"/>
        <w:rPr>
          <w:rFonts w:hint="default" w:ascii="宋体" w:hAnsi="宋体" w:eastAsiaTheme="minorEastAsia"/>
          <w:sz w:val="32"/>
          <w:lang w:val="en-US" w:eastAsia="zh-CN"/>
        </w:rPr>
      </w:pPr>
      <w:r>
        <w:rPr>
          <w:rFonts w:hint="eastAsia" w:ascii="宋体" w:hAnsi="宋体"/>
          <w:spacing w:val="80"/>
          <w:sz w:val="32"/>
        </w:rPr>
        <w:t>审核类型</w:t>
      </w:r>
      <w:r>
        <w:rPr>
          <w:rFonts w:hint="eastAsia" w:ascii="MS PGothic" w:hAnsi="MS PGothic"/>
          <w:sz w:val="32"/>
        </w:rPr>
        <w:t>：</w:t>
      </w:r>
      <w:r>
        <w:rPr>
          <w:rFonts w:hint="eastAsia" w:ascii="宋体" w:hAnsi="宋体"/>
          <w:b/>
          <w:bCs/>
          <w:sz w:val="32"/>
          <w:u w:val="single"/>
        </w:rPr>
        <w:t>年度监督审核</w:t>
      </w:r>
      <w:r>
        <w:rPr>
          <w:rFonts w:hint="eastAsia" w:ascii="宋体" w:hAnsi="宋体"/>
          <w:b/>
          <w:bCs/>
          <w:sz w:val="32"/>
          <w:u w:val="single"/>
          <w:lang w:val="en-US" w:eastAsia="zh-CN"/>
        </w:rPr>
        <w:t xml:space="preserve">           </w:t>
      </w:r>
    </w:p>
    <w:p>
      <w:pPr>
        <w:widowControl/>
        <w:spacing w:line="360" w:lineRule="auto"/>
        <w:ind w:right="360"/>
        <w:rPr>
          <w:rFonts w:ascii="宋体" w:hAnsi="宋体"/>
          <w:spacing w:val="80"/>
          <w:sz w:val="32"/>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jc w:val="right"/>
        <w:rPr>
          <w:rFonts w:ascii="Times New Roman" w:hAnsi="Times New Roman" w:eastAsia="宋体" w:cs="Times New Roman"/>
          <w:bCs/>
          <w:kern w:val="0"/>
          <w:sz w:val="18"/>
          <w:szCs w:val="18"/>
        </w:rPr>
      </w:pPr>
      <w:r>
        <w:rPr>
          <w:rFonts w:ascii="Times New Roman" w:hAnsi="Times New Roman" w:eastAsia="宋体" w:cs="Times New Roman"/>
          <w:bCs/>
          <w:kern w:val="0"/>
          <w:sz w:val="18"/>
          <w:szCs w:val="18"/>
        </w:rPr>
        <w:t>编号：</w:t>
      </w:r>
      <w:bookmarkStart w:id="3" w:name="合同编号Add"/>
      <w:r>
        <w:rPr>
          <w:rFonts w:ascii="Times New Roman" w:hAnsi="Times New Roman" w:eastAsia="宋体" w:cs="Times New Roman"/>
          <w:bCs/>
          <w:kern w:val="0"/>
          <w:sz w:val="18"/>
          <w:szCs w:val="18"/>
          <w:u w:val="single"/>
        </w:rPr>
        <w:t>0233-2020-2021</w:t>
      </w:r>
      <w:bookmarkEnd w:id="3"/>
    </w:p>
    <w:p>
      <w:pPr>
        <w:widowControl/>
        <w:spacing w:line="360" w:lineRule="auto"/>
        <w:jc w:val="center"/>
        <w:rPr>
          <w:rFonts w:ascii="宋体" w:hAnsi="宋体" w:eastAsia="宋体" w:cs="宋体"/>
          <w:b/>
          <w:bCs/>
          <w:kern w:val="0"/>
          <w:sz w:val="30"/>
          <w:szCs w:val="30"/>
        </w:rPr>
      </w:pPr>
      <w:r>
        <w:rPr>
          <w:rFonts w:ascii="宋体" w:hAnsi="宋体" w:eastAsia="宋体" w:cs="宋体"/>
          <w:b/>
          <w:bCs/>
          <w:kern w:val="0"/>
          <w:sz w:val="30"/>
          <w:szCs w:val="30"/>
        </w:rPr>
        <w:t>监督审核报告</w:t>
      </w:r>
    </w:p>
    <w:p>
      <w:pPr>
        <w:widowControl/>
        <w:spacing w:line="360" w:lineRule="auto"/>
        <w:rPr>
          <w:rFonts w:cs="宋体" w:asciiTheme="minorEastAsia" w:hAnsiTheme="minorEastAsia"/>
          <w:b/>
          <w:bCs/>
          <w:kern w:val="0"/>
          <w:szCs w:val="21"/>
        </w:rPr>
      </w:pPr>
      <w:r>
        <w:rPr>
          <w:rFonts w:hint="eastAsia" w:cs="宋体" w:asciiTheme="minorEastAsia" w:hAnsiTheme="minorEastAsia"/>
          <w:b/>
          <w:bCs/>
          <w:kern w:val="0"/>
          <w:szCs w:val="21"/>
        </w:rPr>
        <w:t>一、基本情况</w:t>
      </w:r>
    </w:p>
    <w:tbl>
      <w:tblPr>
        <w:tblStyle w:val="4"/>
        <w:tblW w:w="9220"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9"/>
        <w:gridCol w:w="3119"/>
        <w:gridCol w:w="1984"/>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bCs/>
                <w:kern w:val="0"/>
                <w:szCs w:val="21"/>
              </w:rPr>
              <w:t>企业</w:t>
            </w:r>
            <w:r>
              <w:rPr>
                <w:rFonts w:cs="宋体" w:asciiTheme="minorEastAsia" w:hAnsiTheme="minorEastAsia"/>
                <w:kern w:val="0"/>
                <w:szCs w:val="21"/>
              </w:rPr>
              <w:t>名称</w:t>
            </w:r>
          </w:p>
        </w:tc>
        <w:tc>
          <w:tcPr>
            <w:tcW w:w="311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bookmarkStart w:id="4" w:name="组织名称Add1"/>
            <w:r>
              <w:rPr>
                <w:rFonts w:cs="宋体" w:asciiTheme="minorEastAsia" w:hAnsiTheme="minorEastAsia"/>
                <w:kern w:val="0"/>
                <w:szCs w:val="21"/>
              </w:rPr>
              <w:t>徐州徐工汽车制造有限公司</w:t>
            </w:r>
            <w:bookmarkEnd w:id="4"/>
          </w:p>
        </w:tc>
        <w:tc>
          <w:tcPr>
            <w:tcW w:w="198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企业联系人</w:t>
            </w:r>
          </w:p>
        </w:tc>
        <w:tc>
          <w:tcPr>
            <w:tcW w:w="2268" w:type="dxa"/>
          </w:tcPr>
          <w:p>
            <w:pPr>
              <w:tabs>
                <w:tab w:val="left" w:pos="880"/>
              </w:tabs>
              <w:autoSpaceDE w:val="0"/>
              <w:autoSpaceDN w:val="0"/>
              <w:adjustRightInd w:val="0"/>
              <w:spacing w:before="35" w:line="360" w:lineRule="auto"/>
              <w:ind w:right="161"/>
              <w:rPr>
                <w:rFonts w:cs="宋体" w:asciiTheme="minorEastAsia" w:hAnsiTheme="minorEastAsia"/>
                <w:kern w:val="0"/>
                <w:szCs w:val="21"/>
              </w:rPr>
            </w:pPr>
            <w:bookmarkStart w:id="5" w:name="联系人"/>
            <w:r>
              <w:rPr>
                <w:rFonts w:cs="宋体" w:asciiTheme="minorEastAsia" w:hAnsiTheme="minorEastAsia"/>
                <w:kern w:val="0"/>
                <w:szCs w:val="21"/>
              </w:rPr>
              <w:t>李冠文</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认证证书编号</w:t>
            </w:r>
          </w:p>
        </w:tc>
        <w:tc>
          <w:tcPr>
            <w:tcW w:w="311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bookmarkStart w:id="6" w:name="证书编号"/>
            <w:r>
              <w:rPr>
                <w:rFonts w:cs="宋体" w:asciiTheme="minorEastAsia" w:hAnsiTheme="minorEastAsia"/>
                <w:kern w:val="0"/>
                <w:szCs w:val="21"/>
              </w:rPr>
              <w:t>ISC-2020-0906</w:t>
            </w:r>
            <w:bookmarkEnd w:id="6"/>
          </w:p>
        </w:tc>
        <w:tc>
          <w:tcPr>
            <w:tcW w:w="198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证书有效期</w:t>
            </w:r>
          </w:p>
        </w:tc>
        <w:tc>
          <w:tcPr>
            <w:tcW w:w="2268" w:type="dxa"/>
          </w:tcPr>
          <w:p>
            <w:pPr>
              <w:tabs>
                <w:tab w:val="left" w:pos="880"/>
              </w:tabs>
              <w:autoSpaceDE w:val="0"/>
              <w:autoSpaceDN w:val="0"/>
              <w:adjustRightInd w:val="0"/>
              <w:spacing w:before="35" w:line="360" w:lineRule="auto"/>
              <w:ind w:right="161"/>
              <w:rPr>
                <w:rFonts w:cs="宋体" w:asciiTheme="minorEastAsia" w:hAnsiTheme="minorEastAsia"/>
                <w:kern w:val="0"/>
                <w:szCs w:val="21"/>
              </w:rPr>
            </w:pPr>
            <w:bookmarkStart w:id="7" w:name="证书有效期"/>
            <w:r>
              <w:rPr>
                <w:rFonts w:cs="宋体" w:asciiTheme="minorEastAsia" w:hAnsiTheme="minorEastAsia"/>
                <w:kern w:val="0"/>
                <w:szCs w:val="21"/>
              </w:rPr>
              <w:t>2025-12-29 0:00:00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监督审核次数</w:t>
            </w:r>
          </w:p>
        </w:tc>
        <w:tc>
          <w:tcPr>
            <w:tcW w:w="311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bookmarkStart w:id="8" w:name="监督次数"/>
            <w:r>
              <w:rPr>
                <w:rFonts w:cs="宋体" w:asciiTheme="minorEastAsia" w:hAnsiTheme="minorEastAsia"/>
                <w:kern w:val="0"/>
                <w:szCs w:val="21"/>
              </w:rPr>
              <w:t>一</w:t>
            </w:r>
            <w:bookmarkEnd w:id="8"/>
          </w:p>
        </w:tc>
        <w:tc>
          <w:tcPr>
            <w:tcW w:w="198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本次监督</w:t>
            </w:r>
            <w:r>
              <w:rPr>
                <w:rFonts w:cs="宋体" w:asciiTheme="minorEastAsia" w:hAnsiTheme="minorEastAsia"/>
                <w:color w:val="333333"/>
                <w:kern w:val="0"/>
                <w:szCs w:val="21"/>
              </w:rPr>
              <w:t>时间</w:t>
            </w:r>
          </w:p>
        </w:tc>
        <w:tc>
          <w:tcPr>
            <w:tcW w:w="2268" w:type="dxa"/>
          </w:tcPr>
          <w:p>
            <w:pPr>
              <w:tabs>
                <w:tab w:val="left" w:pos="880"/>
              </w:tabs>
              <w:autoSpaceDE w:val="0"/>
              <w:autoSpaceDN w:val="0"/>
              <w:adjustRightInd w:val="0"/>
              <w:spacing w:before="35" w:line="360" w:lineRule="auto"/>
              <w:ind w:right="161"/>
              <w:rPr>
                <w:rFonts w:cs="宋体" w:asciiTheme="minorEastAsia" w:hAnsiTheme="minorEastAsia"/>
                <w:kern w:val="0"/>
                <w:szCs w:val="21"/>
              </w:rPr>
            </w:pPr>
            <w:bookmarkStart w:id="9" w:name="审核开始日"/>
            <w:r>
              <w:rPr>
                <w:rFonts w:cs="宋体" w:asciiTheme="minorEastAsia" w:hAnsiTheme="minorEastAsia"/>
                <w:kern w:val="0"/>
                <w:szCs w:val="21"/>
              </w:rPr>
              <w:t xml:space="preserve">2021年12月17日 </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1849" w:type="dxa"/>
          </w:tcPr>
          <w:p>
            <w:pPr>
              <w:tabs>
                <w:tab w:val="left" w:pos="880"/>
              </w:tabs>
              <w:autoSpaceDE w:val="0"/>
              <w:autoSpaceDN w:val="0"/>
              <w:adjustRightInd w:val="0"/>
              <w:spacing w:before="35" w:line="276" w:lineRule="auto"/>
              <w:ind w:right="161" w:firstLine="105" w:firstLineChars="50"/>
              <w:rPr>
                <w:rFonts w:cs="宋体" w:asciiTheme="minorEastAsia" w:hAnsiTheme="minorEastAsia"/>
                <w:kern w:val="0"/>
                <w:szCs w:val="21"/>
              </w:rPr>
            </w:pPr>
            <w:r>
              <w:rPr>
                <w:rFonts w:hint="eastAsia" w:cs="宋体" w:asciiTheme="minorEastAsia" w:hAnsiTheme="minorEastAsia"/>
                <w:kern w:val="0"/>
                <w:szCs w:val="21"/>
              </w:rPr>
              <w:t>监督审核员</w:t>
            </w:r>
          </w:p>
          <w:p>
            <w:pPr>
              <w:tabs>
                <w:tab w:val="left" w:pos="880"/>
              </w:tabs>
              <w:autoSpaceDE w:val="0"/>
              <w:autoSpaceDN w:val="0"/>
              <w:adjustRightInd w:val="0"/>
              <w:spacing w:before="35" w:line="276" w:lineRule="auto"/>
              <w:ind w:right="161" w:firstLine="105" w:firstLineChars="50"/>
              <w:rPr>
                <w:rFonts w:cs="宋体" w:asciiTheme="minorEastAsia" w:hAnsiTheme="minorEastAsia"/>
                <w:kern w:val="0"/>
                <w:szCs w:val="21"/>
              </w:rPr>
            </w:pPr>
            <w:r>
              <w:rPr>
                <w:rFonts w:hint="eastAsia" w:cs="宋体" w:asciiTheme="minorEastAsia" w:hAnsiTheme="minorEastAsia"/>
                <w:kern w:val="0"/>
                <w:szCs w:val="21"/>
              </w:rPr>
              <w:t>姓名及确认号</w:t>
            </w:r>
          </w:p>
        </w:tc>
        <w:tc>
          <w:tcPr>
            <w:tcW w:w="3119" w:type="dxa"/>
          </w:tcPr>
          <w:p>
            <w:pPr>
              <w:numPr>
                <w:ilvl w:val="0"/>
                <w:numId w:val="0"/>
              </w:numPr>
              <w:tabs>
                <w:tab w:val="left" w:pos="880"/>
              </w:tabs>
              <w:autoSpaceDE w:val="0"/>
              <w:autoSpaceDN w:val="0"/>
              <w:adjustRightInd w:val="0"/>
              <w:spacing w:before="35" w:line="276" w:lineRule="auto"/>
              <w:ind w:right="161" w:rightChars="0"/>
              <w:rPr>
                <w:rFonts w:hint="eastAsia" w:ascii="宋体" w:hAnsi="宋体"/>
                <w:color w:val="000000"/>
                <w:szCs w:val="21"/>
                <w:shd w:val="clear" w:color="auto" w:fill="auto"/>
                <w:lang w:val="en-US" w:eastAsia="zh-CN"/>
              </w:rPr>
            </w:pPr>
            <w:r>
              <w:rPr>
                <w:rFonts w:hint="eastAsia" w:ascii="宋体" w:hAnsi="宋体"/>
                <w:color w:val="000000"/>
                <w:szCs w:val="21"/>
                <w:shd w:val="clear" w:color="auto" w:fill="auto"/>
                <w:lang w:val="en-US" w:eastAsia="zh-CN"/>
              </w:rPr>
              <w:t>黄金荣</w:t>
            </w:r>
          </w:p>
          <w:p>
            <w:pPr>
              <w:numPr>
                <w:ilvl w:val="0"/>
                <w:numId w:val="0"/>
              </w:numPr>
              <w:tabs>
                <w:tab w:val="left" w:pos="880"/>
              </w:tabs>
              <w:autoSpaceDE w:val="0"/>
              <w:autoSpaceDN w:val="0"/>
              <w:adjustRightInd w:val="0"/>
              <w:spacing w:before="35" w:line="276" w:lineRule="auto"/>
              <w:ind w:right="161" w:rightChars="0"/>
              <w:rPr>
                <w:rFonts w:hint="eastAsia" w:ascii="宋体" w:hAnsi="宋体"/>
                <w:color w:val="000000"/>
                <w:szCs w:val="21"/>
                <w:shd w:val="clear" w:color="auto" w:fill="auto"/>
                <w:lang w:eastAsia="zh-CN"/>
              </w:rPr>
            </w:pPr>
            <w:r>
              <w:rPr>
                <w:rFonts w:ascii="宋体" w:hAnsi="宋体"/>
                <w:color w:val="000000"/>
                <w:szCs w:val="21"/>
                <w:shd w:val="clear" w:color="auto" w:fill="auto"/>
              </w:rPr>
              <w:t>2021-M1MMS-2227641</w:t>
            </w:r>
          </w:p>
          <w:p>
            <w:pPr>
              <w:tabs>
                <w:tab w:val="left" w:pos="880"/>
              </w:tabs>
              <w:autoSpaceDE w:val="0"/>
              <w:autoSpaceDN w:val="0"/>
              <w:adjustRightInd w:val="0"/>
              <w:spacing w:before="35" w:line="276" w:lineRule="auto"/>
              <w:ind w:right="161"/>
              <w:rPr>
                <w:rFonts w:hint="eastAsia" w:ascii="宋体" w:hAnsi="宋体"/>
                <w:color w:val="000000"/>
                <w:szCs w:val="21"/>
              </w:rPr>
            </w:pPr>
            <w:r>
              <w:rPr>
                <w:rFonts w:hint="eastAsia" w:ascii="宋体" w:hAnsi="宋体"/>
                <w:color w:val="000000"/>
                <w:szCs w:val="21"/>
              </w:rPr>
              <w:t>ISC[S]0062</w:t>
            </w:r>
          </w:p>
          <w:p>
            <w:pPr>
              <w:tabs>
                <w:tab w:val="left" w:pos="880"/>
              </w:tabs>
              <w:autoSpaceDE w:val="0"/>
              <w:autoSpaceDN w:val="0"/>
              <w:adjustRightInd w:val="0"/>
              <w:spacing w:before="35" w:line="276" w:lineRule="auto"/>
              <w:ind w:right="161"/>
              <w:rPr>
                <w:rFonts w:hint="eastAsia" w:ascii="宋体" w:hAnsi="宋体"/>
                <w:color w:val="000000"/>
                <w:szCs w:val="21"/>
                <w:lang w:val="en-US" w:eastAsia="zh-CN"/>
              </w:rPr>
            </w:pPr>
            <w:r>
              <w:rPr>
                <w:rFonts w:hint="eastAsia" w:ascii="宋体" w:hAnsi="宋体"/>
                <w:color w:val="000000"/>
                <w:szCs w:val="21"/>
                <w:lang w:val="en-US" w:eastAsia="zh-CN"/>
              </w:rPr>
              <w:t>尹彩侠</w:t>
            </w:r>
          </w:p>
          <w:p>
            <w:pPr>
              <w:tabs>
                <w:tab w:val="left" w:pos="880"/>
              </w:tabs>
              <w:autoSpaceDE w:val="0"/>
              <w:autoSpaceDN w:val="0"/>
              <w:adjustRightInd w:val="0"/>
              <w:spacing w:before="35" w:line="276" w:lineRule="auto"/>
              <w:ind w:right="161"/>
              <w:rPr>
                <w:rFonts w:ascii="宋体" w:hAnsi="宋体"/>
                <w:color w:val="000000"/>
                <w:szCs w:val="21"/>
                <w:shd w:val="clear" w:color="auto" w:fill="auto"/>
              </w:rPr>
            </w:pPr>
            <w:r>
              <w:rPr>
                <w:rFonts w:ascii="宋体" w:hAnsi="宋体"/>
                <w:color w:val="000000"/>
                <w:szCs w:val="21"/>
                <w:shd w:val="clear" w:color="auto" w:fill="auto"/>
              </w:rPr>
              <w:t>2019-M1MMS-1274272</w:t>
            </w:r>
          </w:p>
          <w:p>
            <w:pPr>
              <w:tabs>
                <w:tab w:val="left" w:pos="880"/>
              </w:tabs>
              <w:autoSpaceDE w:val="0"/>
              <w:autoSpaceDN w:val="0"/>
              <w:adjustRightInd w:val="0"/>
              <w:spacing w:before="35" w:line="276" w:lineRule="auto"/>
              <w:ind w:right="161"/>
              <w:rPr>
                <w:rFonts w:hint="default" w:ascii="宋体" w:hAnsi="宋体"/>
                <w:color w:val="000000"/>
                <w:szCs w:val="21"/>
                <w:shd w:val="clear" w:color="auto" w:fill="auto"/>
                <w:lang w:val="en-US" w:eastAsia="zh-CN"/>
              </w:rPr>
            </w:pPr>
            <w:r>
              <w:rPr>
                <w:rFonts w:hint="eastAsia" w:ascii="宋体" w:hAnsi="宋体"/>
                <w:color w:val="000000"/>
                <w:szCs w:val="21"/>
              </w:rPr>
              <w:t>ISC[S]0123</w:t>
            </w:r>
          </w:p>
        </w:tc>
        <w:tc>
          <w:tcPr>
            <w:tcW w:w="198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cs="宋体" w:asciiTheme="minorEastAsia" w:hAnsiTheme="minorEastAsia"/>
                <w:bCs/>
                <w:kern w:val="0"/>
                <w:szCs w:val="21"/>
              </w:rPr>
              <w:t>监督审核涉及的区域或部门</w:t>
            </w:r>
          </w:p>
        </w:tc>
        <w:tc>
          <w:tcPr>
            <w:tcW w:w="2268" w:type="dxa"/>
          </w:tcPr>
          <w:p>
            <w:pPr>
              <w:tabs>
                <w:tab w:val="left" w:pos="840"/>
              </w:tabs>
              <w:spacing w:before="17"/>
              <w:ind w:right="-20"/>
              <w:rPr>
                <w:rFonts w:hint="default" w:ascii="Arial" w:hAnsi="Arial" w:eastAsia="Arial" w:cs="Arial"/>
                <w:spacing w:val="1"/>
                <w:szCs w:val="21"/>
                <w:lang w:val="en-US"/>
              </w:rPr>
            </w:pPr>
            <w:r>
              <w:rPr>
                <w:rFonts w:hint="eastAsia" w:ascii="Arial" w:hAnsi="Arial" w:eastAsia="Arial" w:cs="Arial"/>
                <w:spacing w:val="1"/>
                <w:szCs w:val="21"/>
                <w:lang w:val="en-US" w:eastAsia="zh-CN"/>
              </w:rPr>
              <w:t>管理层/</w:t>
            </w:r>
            <w:r>
              <w:rPr>
                <w:rFonts w:hint="eastAsia" w:ascii="Arial" w:hAnsi="Arial" w:eastAsia="Arial" w:cs="Arial"/>
                <w:spacing w:val="1"/>
                <w:szCs w:val="21"/>
              </w:rPr>
              <w:t>管理者代表</w:t>
            </w:r>
            <w:r>
              <w:rPr>
                <w:rFonts w:hint="eastAsia" w:ascii="Arial" w:hAnsi="Arial" w:eastAsia="Arial" w:cs="Arial"/>
                <w:spacing w:val="1"/>
                <w:szCs w:val="21"/>
                <w:lang w:eastAsia="zh-CN"/>
              </w:rPr>
              <w:t>、</w:t>
            </w:r>
            <w:r>
              <w:rPr>
                <w:rFonts w:hint="eastAsia" w:ascii="Arial" w:hAnsi="Arial" w:eastAsia="Arial" w:cs="Arial"/>
                <w:spacing w:val="1"/>
                <w:szCs w:val="21"/>
              </w:rPr>
              <w:t>品质管理部</w:t>
            </w:r>
            <w:r>
              <w:rPr>
                <w:rFonts w:hint="eastAsia" w:ascii="Arial" w:hAnsi="Arial" w:eastAsia="Arial" w:cs="Arial"/>
                <w:spacing w:val="1"/>
                <w:szCs w:val="21"/>
                <w:lang w:val="en-US" w:eastAsia="zh-CN"/>
              </w:rPr>
              <w:t>、</w:t>
            </w:r>
            <w:r>
              <w:rPr>
                <w:rFonts w:hint="eastAsia" w:ascii="Arial" w:hAnsi="Arial" w:eastAsia="Arial" w:cs="Arial"/>
                <w:spacing w:val="1"/>
                <w:szCs w:val="21"/>
              </w:rPr>
              <w:t>营销公司</w:t>
            </w:r>
            <w:r>
              <w:rPr>
                <w:rFonts w:hint="eastAsia" w:ascii="Arial" w:hAnsi="Arial" w:eastAsia="宋体" w:cs="Arial"/>
                <w:spacing w:val="1"/>
                <w:szCs w:val="21"/>
                <w:lang w:eastAsia="zh-CN"/>
              </w:rPr>
              <w:t>、</w:t>
            </w:r>
            <w:r>
              <w:rPr>
                <w:rFonts w:hint="eastAsia" w:ascii="Arial" w:hAnsi="Arial" w:eastAsia="Arial" w:cs="Arial"/>
                <w:spacing w:val="1"/>
                <w:szCs w:val="21"/>
                <w:lang w:val="en-US" w:eastAsia="zh-CN"/>
              </w:rPr>
              <w:t>总装分厂、涂装分厂</w:t>
            </w:r>
          </w:p>
          <w:p>
            <w:pPr>
              <w:tabs>
                <w:tab w:val="left" w:pos="880"/>
              </w:tabs>
              <w:autoSpaceDE w:val="0"/>
              <w:autoSpaceDN w:val="0"/>
              <w:adjustRightInd w:val="0"/>
              <w:spacing w:before="35" w:line="360" w:lineRule="auto"/>
              <w:ind w:right="161"/>
              <w:rPr>
                <w:rFonts w:hint="eastAsia" w:eastAsia="宋体" w:cs="宋体" w:asciiTheme="minorEastAsia" w:hAnsiTheme="minorEastAsia"/>
                <w:kern w:val="0"/>
                <w:szCs w:val="21"/>
                <w:lang w:eastAsia="zh-CN"/>
              </w:rPr>
            </w:pPr>
          </w:p>
        </w:tc>
      </w:tr>
    </w:tbl>
    <w:p>
      <w:pPr>
        <w:widowControl/>
        <w:spacing w:line="360" w:lineRule="auto"/>
        <w:rPr>
          <w:rFonts w:cs="宋体" w:asciiTheme="minorEastAsia" w:hAnsiTheme="minorEastAsia"/>
          <w:kern w:val="0"/>
          <w:szCs w:val="21"/>
        </w:rPr>
      </w:pPr>
      <w:r>
        <w:rPr>
          <w:rFonts w:hint="eastAsia" w:cs="宋体" w:asciiTheme="minorEastAsia" w:hAnsiTheme="minorEastAsia"/>
          <w:b/>
          <w:bCs/>
          <w:kern w:val="0"/>
          <w:szCs w:val="21"/>
        </w:rPr>
        <w:t>二、</w:t>
      </w:r>
      <w:r>
        <w:rPr>
          <w:rFonts w:cs="宋体" w:asciiTheme="minorEastAsia" w:hAnsiTheme="minorEastAsia"/>
          <w:b/>
          <w:bCs/>
          <w:kern w:val="0"/>
          <w:szCs w:val="21"/>
        </w:rPr>
        <w:t>监督审核</w:t>
      </w:r>
      <w:r>
        <w:rPr>
          <w:rFonts w:hint="eastAsia" w:cs="宋体" w:asciiTheme="minorEastAsia" w:hAnsiTheme="minorEastAsia"/>
          <w:b/>
          <w:bCs/>
          <w:kern w:val="0"/>
          <w:szCs w:val="21"/>
        </w:rPr>
        <w:t>内容</w:t>
      </w:r>
      <w:r>
        <w:rPr>
          <w:rFonts w:hint="eastAsia" w:cs="宋体" w:asciiTheme="minorEastAsia" w:hAnsiTheme="minorEastAsia"/>
          <w:bCs/>
          <w:kern w:val="0"/>
          <w:szCs w:val="21"/>
        </w:rPr>
        <w:t>：</w:t>
      </w:r>
    </w:p>
    <w:p>
      <w:pPr>
        <w:widowControl/>
        <w:numPr>
          <w:ilvl w:val="0"/>
          <w:numId w:val="0"/>
        </w:numPr>
        <w:spacing w:line="360" w:lineRule="auto"/>
        <w:ind w:firstLine="480" w:firstLineChars="200"/>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一年来，公司日常运行中生产、经营、安全、及管理方面比去年都有很大提升，企业制定了多项生产管理文件、制度，测量管理体系理念更加深入人心，企业未有违反法律、法规问题和产品质量问题的投诉或重大质量事故发生。公司一年来重点做了以下工作：</w:t>
      </w:r>
    </w:p>
    <w:p>
      <w:pPr>
        <w:spacing w:line="360" w:lineRule="auto"/>
        <w:rPr>
          <w:rFonts w:hint="eastAsia" w:ascii="宋体" w:hAnsi="宋体" w:eastAsia="宋体" w:cs="宋体"/>
          <w:bCs/>
          <w:color w:val="auto"/>
          <w:kern w:val="0"/>
          <w:sz w:val="24"/>
          <w:szCs w:val="24"/>
          <w:highlight w:val="none"/>
          <w:lang w:eastAsia="zh-CN"/>
        </w:rPr>
      </w:pPr>
      <w:r>
        <w:rPr>
          <w:rFonts w:hint="eastAsia" w:ascii="宋体" w:hAnsi="宋体" w:eastAsia="宋体" w:cs="宋体"/>
          <w:bCs/>
          <w:color w:val="auto"/>
          <w:kern w:val="0"/>
          <w:sz w:val="24"/>
          <w:szCs w:val="24"/>
          <w:highlight w:val="none"/>
        </w:rPr>
        <w:t xml:space="preserve">1.1 </w:t>
      </w:r>
      <w:r>
        <w:rPr>
          <w:rFonts w:hint="eastAsia" w:asciiTheme="majorEastAsia" w:hAnsiTheme="majorEastAsia" w:eastAsiaTheme="majorEastAsia" w:cstheme="majorEastAsia"/>
          <w:bCs/>
          <w:color w:val="auto"/>
          <w:kern w:val="0"/>
          <w:sz w:val="24"/>
          <w:szCs w:val="24"/>
          <w:highlight w:val="none"/>
        </w:rPr>
        <w:t>公司测量管理体系</w:t>
      </w:r>
      <w:r>
        <w:rPr>
          <w:rFonts w:hint="eastAsia" w:asciiTheme="majorEastAsia" w:hAnsiTheme="majorEastAsia" w:eastAsiaTheme="majorEastAsia" w:cstheme="majorEastAsia"/>
          <w:bCs/>
          <w:color w:val="auto"/>
          <w:kern w:val="0"/>
          <w:sz w:val="24"/>
          <w:szCs w:val="24"/>
          <w:highlight w:val="none"/>
          <w:lang w:val="en-US" w:eastAsia="zh-CN"/>
        </w:rPr>
        <w:t>通过</w:t>
      </w:r>
      <w:r>
        <w:rPr>
          <w:rFonts w:hint="eastAsia" w:asciiTheme="majorEastAsia" w:hAnsiTheme="majorEastAsia" w:eastAsiaTheme="majorEastAsia" w:cstheme="majorEastAsia"/>
          <w:bCs/>
          <w:color w:val="auto"/>
          <w:kern w:val="0"/>
          <w:sz w:val="24"/>
          <w:szCs w:val="24"/>
          <w:highlight w:val="none"/>
        </w:rPr>
        <w:t>认证后，</w:t>
      </w:r>
      <w:r>
        <w:rPr>
          <w:rFonts w:hint="eastAsia" w:ascii="宋体" w:hAnsi="宋体" w:eastAsia="宋体" w:cs="宋体"/>
          <w:bCs/>
          <w:color w:val="auto"/>
          <w:kern w:val="0"/>
          <w:sz w:val="24"/>
          <w:szCs w:val="24"/>
          <w:highlight w:val="none"/>
          <w:lang w:val="en-US" w:eastAsia="zh-CN"/>
        </w:rPr>
        <w:t>一年来企业</w:t>
      </w:r>
      <w:r>
        <w:rPr>
          <w:rFonts w:hint="eastAsia" w:ascii="宋体" w:hAnsi="宋体" w:eastAsia="宋体" w:cs="宋体"/>
          <w:bCs/>
          <w:color w:val="auto"/>
          <w:kern w:val="0"/>
          <w:sz w:val="24"/>
          <w:szCs w:val="24"/>
          <w:highlight w:val="none"/>
        </w:rPr>
        <w:t>重点</w:t>
      </w:r>
      <w:r>
        <w:rPr>
          <w:rFonts w:hint="eastAsia" w:ascii="宋体" w:hAnsi="宋体" w:eastAsia="宋体" w:cs="宋体"/>
          <w:bCs/>
          <w:color w:val="auto"/>
          <w:kern w:val="0"/>
          <w:sz w:val="24"/>
          <w:szCs w:val="24"/>
          <w:highlight w:val="none"/>
          <w:lang w:val="en-US" w:eastAsia="zh-CN"/>
        </w:rPr>
        <w:t>关注</w:t>
      </w:r>
      <w:r>
        <w:rPr>
          <w:rFonts w:hint="eastAsia" w:ascii="宋体" w:hAnsi="宋体" w:eastAsia="宋体" w:cs="宋体"/>
          <w:bCs/>
          <w:color w:val="auto"/>
          <w:kern w:val="0"/>
          <w:sz w:val="24"/>
          <w:szCs w:val="24"/>
          <w:highlight w:val="none"/>
        </w:rPr>
        <w:t>原材料检验、产品出厂检验等测量过程及测量设备量值溯源。</w:t>
      </w:r>
      <w:r>
        <w:rPr>
          <w:rFonts w:hint="eastAsia" w:ascii="宋体" w:hAnsi="宋体" w:eastAsia="宋体" w:cs="宋体"/>
          <w:bCs/>
          <w:color w:val="auto"/>
          <w:kern w:val="0"/>
          <w:sz w:val="24"/>
          <w:szCs w:val="24"/>
          <w:highlight w:val="none"/>
          <w:lang w:val="en-US" w:eastAsia="zh-CN"/>
        </w:rPr>
        <w:t>企业</w:t>
      </w:r>
      <w:r>
        <w:rPr>
          <w:rFonts w:hint="eastAsia" w:ascii="宋体" w:hAnsi="宋体" w:eastAsia="宋体" w:cs="宋体"/>
          <w:bCs/>
          <w:color w:val="auto"/>
          <w:kern w:val="0"/>
          <w:sz w:val="24"/>
          <w:szCs w:val="24"/>
          <w:highlight w:val="none"/>
        </w:rPr>
        <w:t>测量设备</w:t>
      </w:r>
      <w:r>
        <w:rPr>
          <w:rFonts w:hint="eastAsia" w:ascii="宋体" w:hAnsi="宋体" w:eastAsia="宋体" w:cs="宋体"/>
          <w:bCs/>
          <w:color w:val="auto"/>
          <w:kern w:val="0"/>
          <w:sz w:val="24"/>
          <w:szCs w:val="24"/>
          <w:highlight w:val="none"/>
          <w:lang w:val="en-US" w:eastAsia="zh-CN"/>
        </w:rPr>
        <w:t>按照检定/校准计划</w:t>
      </w:r>
      <w:r>
        <w:rPr>
          <w:rFonts w:hint="eastAsia" w:ascii="宋体" w:hAnsi="宋体" w:eastAsia="宋体" w:cs="宋体"/>
          <w:bCs/>
          <w:color w:val="auto"/>
          <w:kern w:val="0"/>
          <w:sz w:val="24"/>
          <w:szCs w:val="24"/>
          <w:highlight w:val="none"/>
        </w:rPr>
        <w:t>送到有资质的检定/校准机构检定/校准。</w:t>
      </w:r>
      <w:r>
        <w:rPr>
          <w:rFonts w:hint="eastAsia" w:ascii="宋体" w:hAnsi="宋体" w:eastAsia="宋体" w:cs="宋体"/>
          <w:bCs/>
          <w:color w:val="auto"/>
          <w:kern w:val="0"/>
          <w:sz w:val="24"/>
          <w:szCs w:val="24"/>
          <w:highlight w:val="none"/>
          <w:lang w:val="en-US" w:eastAsia="zh-CN"/>
        </w:rPr>
        <w:t>对校准后的测量设备进行验证。对关键测量过程进行</w:t>
      </w:r>
      <w:r>
        <w:rPr>
          <w:rFonts w:hint="eastAsia" w:ascii="宋体" w:hAnsi="宋体" w:eastAsia="宋体" w:cs="宋体"/>
          <w:bCs/>
          <w:color w:val="auto"/>
          <w:kern w:val="0"/>
          <w:sz w:val="24"/>
          <w:szCs w:val="24"/>
          <w:highlight w:val="none"/>
        </w:rPr>
        <w:t>不确定度评定、有效性确认</w:t>
      </w:r>
      <w:r>
        <w:rPr>
          <w:rFonts w:hint="eastAsia" w:ascii="宋体" w:hAnsi="宋体" w:eastAsia="宋体" w:cs="宋体"/>
          <w:bCs/>
          <w:color w:val="auto"/>
          <w:kern w:val="0"/>
          <w:sz w:val="24"/>
          <w:szCs w:val="24"/>
          <w:highlight w:val="none"/>
          <w:lang w:eastAsia="zh-CN"/>
        </w:rPr>
        <w:t>。</w:t>
      </w:r>
      <w:r>
        <w:rPr>
          <w:rFonts w:hint="eastAsia" w:ascii="宋体" w:hAnsi="宋体" w:eastAsia="宋体" w:cs="宋体"/>
          <w:bCs/>
          <w:color w:val="auto"/>
          <w:kern w:val="0"/>
          <w:sz w:val="24"/>
          <w:szCs w:val="24"/>
          <w:highlight w:val="none"/>
          <w:lang w:val="en-US" w:eastAsia="zh-CN"/>
        </w:rPr>
        <w:t>对关键测量过程应用统计技术按照规定的监视周期进行</w:t>
      </w:r>
      <w:r>
        <w:rPr>
          <w:rFonts w:hint="eastAsia" w:ascii="宋体" w:hAnsi="宋体" w:eastAsia="宋体" w:cs="宋体"/>
          <w:bCs/>
          <w:color w:val="auto"/>
          <w:kern w:val="0"/>
          <w:sz w:val="24"/>
          <w:szCs w:val="24"/>
          <w:highlight w:val="none"/>
        </w:rPr>
        <w:t>监视与统计</w:t>
      </w:r>
      <w:r>
        <w:rPr>
          <w:rFonts w:hint="eastAsia" w:ascii="宋体" w:hAnsi="宋体" w:eastAsia="宋体" w:cs="宋体"/>
          <w:bCs/>
          <w:color w:val="auto"/>
          <w:kern w:val="0"/>
          <w:sz w:val="24"/>
          <w:szCs w:val="24"/>
          <w:highlight w:val="none"/>
          <w:lang w:eastAsia="zh-CN"/>
        </w:rPr>
        <w:t>。</w:t>
      </w:r>
    </w:p>
    <w:p>
      <w:pPr>
        <w:spacing w:line="360" w:lineRule="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val="en-US" w:eastAsia="zh-CN"/>
        </w:rPr>
        <w:t>1.2</w:t>
      </w:r>
      <w:r>
        <w:rPr>
          <w:rFonts w:hint="eastAsia" w:ascii="宋体" w:hAnsi="宋体" w:eastAsia="宋体" w:cs="宋体"/>
          <w:bCs/>
          <w:color w:val="auto"/>
          <w:kern w:val="0"/>
          <w:sz w:val="24"/>
          <w:szCs w:val="24"/>
          <w:highlight w:val="none"/>
        </w:rPr>
        <w:t>公司领导层重视测量管理体系各项工作，配备完善了相关资源和设备</w:t>
      </w:r>
      <w:r>
        <w:rPr>
          <w:rFonts w:hint="eastAsia" w:ascii="宋体" w:hAnsi="宋体" w:eastAsia="宋体" w:cs="宋体"/>
          <w:bCs/>
          <w:color w:val="auto"/>
          <w:kern w:val="0"/>
          <w:sz w:val="24"/>
          <w:szCs w:val="24"/>
          <w:highlight w:val="none"/>
          <w:lang w:val="en-US" w:eastAsia="zh-CN"/>
        </w:rPr>
        <w:t>。企业根据测量体系质量方针，企</w:t>
      </w:r>
      <w:r>
        <w:rPr>
          <w:rFonts w:hint="eastAsia" w:ascii="宋体" w:hAnsi="宋体" w:eastAsia="宋体" w:cs="宋体"/>
          <w:bCs/>
          <w:color w:val="auto"/>
          <w:kern w:val="0"/>
          <w:sz w:val="24"/>
          <w:szCs w:val="24"/>
          <w:highlight w:val="none"/>
          <w:lang w:val="en-US" w:eastAsia="zh-CN"/>
        </w:rPr>
        <w:t>业根据测量体系质量方针，制定了6项质量目标，目标可测量。质量目标通过质量工作纲要下发各部门，各部门组织分解，品质管理部每月统计质量目标完成情况。由管理监察部考核。查:2021年1月至11月质量目标全部完成</w:t>
      </w:r>
      <w:r>
        <w:rPr>
          <w:rFonts w:hint="eastAsia" w:ascii="宋体" w:hAnsi="宋体" w:eastAsia="宋体" w:cs="宋体"/>
          <w:bCs/>
          <w:color w:val="auto"/>
          <w:kern w:val="0"/>
          <w:sz w:val="24"/>
          <w:szCs w:val="24"/>
          <w:highlight w:val="none"/>
        </w:rPr>
        <w:t>。</w:t>
      </w:r>
      <w:r>
        <w:rPr>
          <w:rFonts w:hint="eastAsia" w:ascii="宋体" w:hAnsi="宋体" w:eastAsia="宋体" w:cs="宋体"/>
          <w:bCs/>
          <w:color w:val="auto"/>
          <w:kern w:val="0"/>
          <w:sz w:val="24"/>
          <w:szCs w:val="24"/>
          <w:highlight w:val="none"/>
          <w:lang w:val="en-US" w:eastAsia="zh-CN"/>
        </w:rPr>
        <w:t>测量管理体系的符合性、有效性及持续改进，符合GB/T 19022-2003标准要求，公</w:t>
      </w:r>
      <w:r>
        <w:rPr>
          <w:rFonts w:hint="eastAsia" w:ascii="宋体" w:hAnsi="宋体" w:eastAsia="宋体" w:cs="宋体"/>
          <w:bCs/>
          <w:color w:val="auto"/>
          <w:kern w:val="0"/>
          <w:sz w:val="24"/>
          <w:szCs w:val="24"/>
          <w:highlight w:val="none"/>
          <w:lang w:val="en-US" w:eastAsia="zh-CN"/>
        </w:rPr>
        <w:t>司测量管理体系正常有序运行，较好地满足了公司可持续发展的需要。</w:t>
      </w:r>
    </w:p>
    <w:p>
      <w:pPr>
        <w:spacing w:line="360" w:lineRule="auto"/>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2.内部审核和管理评审的情况：</w:t>
      </w:r>
    </w:p>
    <w:p>
      <w:pPr>
        <w:spacing w:line="360" w:lineRule="auto"/>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2.1公司于2021年11月4日至11月5日组织了公司测量管理体系内审，内审分2个组，对公9个部门、4个分厂和2个子公司进行了审核，共发现5个不符合项，到目前为止不符合项已全部完成整改。</w:t>
      </w:r>
    </w:p>
    <w:p>
      <w:pPr>
        <w:spacing w:line="360" w:lineRule="auto"/>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2.2企业于2021年11月15日开展了单体系管理评审，会议由公司副总经理/管理者代表曹弋主持，由品质管理部汇报了体系运行情况。相关部门汇报了本部门分管的测量管理体系相关工作，会议肯定了公司测量管理体系的充分性、有效性和适宜性。形成了管理评审报告。</w:t>
      </w:r>
    </w:p>
    <w:p>
      <w:pPr>
        <w:spacing w:line="360" w:lineRule="auto"/>
        <w:rPr>
          <w:rFonts w:hint="eastAsia" w:ascii="宋体" w:hAnsi="宋体" w:eastAsia="宋体" w:cs="宋体"/>
          <w:bCs/>
          <w:color w:val="0000FF"/>
          <w:kern w:val="0"/>
          <w:sz w:val="24"/>
          <w:szCs w:val="24"/>
          <w:highlight w:val="none"/>
          <w:lang w:val="en-US" w:eastAsia="zh-CN"/>
        </w:rPr>
      </w:pPr>
    </w:p>
    <w:p>
      <w:pPr>
        <w:spacing w:line="360" w:lineRule="auto"/>
        <w:rPr>
          <w:rFonts w:hint="eastAsia" w:asciiTheme="majorEastAsia" w:hAnsiTheme="majorEastAsia" w:eastAsiaTheme="majorEastAsia" w:cstheme="majorEastAsia"/>
          <w:bCs/>
          <w:color w:val="auto"/>
          <w:kern w:val="0"/>
          <w:sz w:val="24"/>
          <w:szCs w:val="24"/>
          <w:highlight w:val="none"/>
          <w:lang w:val="en-US" w:eastAsia="zh-CN"/>
        </w:rPr>
      </w:pPr>
      <w:r>
        <w:rPr>
          <w:rFonts w:hint="eastAsia" w:asciiTheme="majorEastAsia" w:hAnsiTheme="majorEastAsia" w:eastAsiaTheme="majorEastAsia" w:cstheme="majorEastAsia"/>
          <w:bCs/>
          <w:color w:val="auto"/>
          <w:kern w:val="0"/>
          <w:sz w:val="24"/>
          <w:szCs w:val="24"/>
          <w:highlight w:val="none"/>
          <w:lang w:val="en-US" w:eastAsia="zh-CN"/>
        </w:rPr>
        <w:t>3.为持续改进而策划的活动的进展，企业对识别的关键测量过程进行了持续的控制，企业漆膜厚度测量过程为关键测量过程，测量过程识别、测量设备配备、检定/校准、验证，测量过程有效性确认，测量不确定度评定、测量过程控制和监视满足要求。企业没有新增关键测量过程。</w:t>
      </w:r>
    </w:p>
    <w:p>
      <w:pPr>
        <w:spacing w:line="360" w:lineRule="auto"/>
        <w:rPr>
          <w:rFonts w:hint="eastAsia" w:asciiTheme="majorEastAsia" w:hAnsiTheme="majorEastAsia" w:eastAsiaTheme="majorEastAsia" w:cstheme="majorEastAsia"/>
          <w:bCs/>
          <w:color w:val="auto"/>
          <w:kern w:val="0"/>
          <w:sz w:val="24"/>
          <w:szCs w:val="24"/>
          <w:highlight w:val="none"/>
          <w:lang w:val="en-US" w:eastAsia="zh-CN"/>
        </w:rPr>
      </w:pPr>
      <w:r>
        <w:rPr>
          <w:rFonts w:hint="eastAsia" w:asciiTheme="majorEastAsia" w:hAnsiTheme="majorEastAsia" w:eastAsiaTheme="majorEastAsia" w:cstheme="majorEastAsia"/>
          <w:bCs/>
          <w:color w:val="auto"/>
          <w:kern w:val="0"/>
          <w:sz w:val="24"/>
          <w:szCs w:val="24"/>
          <w:highlight w:val="none"/>
          <w:lang w:val="en-US" w:eastAsia="zh-CN"/>
        </w:rPr>
        <w:t>a)计量要求的导出和验证：查：漆膜厚度测量过程，计量要求导出方法正确，验证满足测量过程要求。祥见附件《计量要求导出及验证记录表》</w:t>
      </w:r>
    </w:p>
    <w:p>
      <w:pPr>
        <w:spacing w:line="360" w:lineRule="auto"/>
        <w:rPr>
          <w:rFonts w:hint="eastAsia" w:asciiTheme="majorEastAsia" w:hAnsiTheme="majorEastAsia" w:eastAsiaTheme="majorEastAsia" w:cstheme="majorEastAsia"/>
          <w:bCs/>
          <w:color w:val="auto"/>
          <w:kern w:val="0"/>
          <w:sz w:val="24"/>
          <w:szCs w:val="24"/>
          <w:highlight w:val="none"/>
          <w:lang w:val="en-US" w:eastAsia="zh-CN"/>
        </w:rPr>
      </w:pPr>
      <w:r>
        <w:rPr>
          <w:rFonts w:hint="eastAsia" w:asciiTheme="majorEastAsia" w:hAnsiTheme="majorEastAsia" w:eastAsiaTheme="majorEastAsia" w:cstheme="majorEastAsia"/>
          <w:bCs/>
          <w:color w:val="auto"/>
          <w:kern w:val="0"/>
          <w:sz w:val="24"/>
          <w:szCs w:val="24"/>
          <w:highlight w:val="none"/>
          <w:lang w:val="en-US" w:eastAsia="zh-CN"/>
        </w:rPr>
        <w:t>b)测量不确定评定：查：漆膜厚度测量过程，测量不确定度评定方法正确。祥见附件《测量不确定度评定》</w:t>
      </w:r>
    </w:p>
    <w:p>
      <w:pPr>
        <w:spacing w:line="360" w:lineRule="auto"/>
        <w:rPr>
          <w:rFonts w:hint="eastAsia" w:asciiTheme="majorEastAsia" w:hAnsiTheme="majorEastAsia" w:eastAsiaTheme="majorEastAsia" w:cstheme="majorEastAsia"/>
          <w:bCs/>
          <w:color w:val="auto"/>
          <w:kern w:val="0"/>
          <w:sz w:val="24"/>
          <w:szCs w:val="24"/>
          <w:highlight w:val="none"/>
          <w:lang w:val="en-US" w:eastAsia="zh-CN"/>
        </w:rPr>
      </w:pPr>
      <w:r>
        <w:rPr>
          <w:rFonts w:hint="eastAsia" w:asciiTheme="majorEastAsia" w:hAnsiTheme="majorEastAsia" w:eastAsiaTheme="majorEastAsia" w:cstheme="majorEastAsia"/>
          <w:bCs/>
          <w:color w:val="auto"/>
          <w:kern w:val="0"/>
          <w:sz w:val="24"/>
          <w:szCs w:val="24"/>
          <w:highlight w:val="none"/>
          <w:lang w:val="en-US" w:eastAsia="zh-CN"/>
        </w:rPr>
        <w:t>c)有效性确认：查：漆膜厚度测量过程有效性确认，满足要求。祥见附件《测量过程有效性确认》</w:t>
      </w:r>
    </w:p>
    <w:p>
      <w:pPr>
        <w:spacing w:line="360" w:lineRule="auto"/>
        <w:rPr>
          <w:rFonts w:hint="eastAsia" w:asciiTheme="majorEastAsia" w:hAnsiTheme="majorEastAsia" w:eastAsiaTheme="majorEastAsia" w:cstheme="majorEastAsia"/>
          <w:bCs/>
          <w:color w:val="auto"/>
          <w:kern w:val="0"/>
          <w:sz w:val="24"/>
          <w:szCs w:val="24"/>
          <w:highlight w:val="none"/>
          <w:lang w:val="en-US" w:eastAsia="zh-CN"/>
        </w:rPr>
      </w:pPr>
      <w:r>
        <w:rPr>
          <w:rFonts w:hint="eastAsia" w:asciiTheme="majorEastAsia" w:hAnsiTheme="majorEastAsia" w:eastAsiaTheme="majorEastAsia" w:cstheme="majorEastAsia"/>
          <w:bCs/>
          <w:color w:val="auto"/>
          <w:kern w:val="0"/>
          <w:sz w:val="24"/>
          <w:szCs w:val="24"/>
          <w:highlight w:val="none"/>
          <w:lang w:val="en-US" w:eastAsia="zh-CN"/>
        </w:rPr>
        <w:t>d)测量过程的控制：查:漆膜厚度测量过程，编制了控制规范，对测量人员、测量设备、测量环境进行控制，满足要求。</w:t>
      </w:r>
    </w:p>
    <w:p>
      <w:pPr>
        <w:spacing w:line="360" w:lineRule="auto"/>
        <w:rPr>
          <w:rFonts w:hint="eastAsia" w:asciiTheme="majorEastAsia" w:hAnsiTheme="majorEastAsia" w:eastAsiaTheme="majorEastAsia" w:cstheme="majorEastAsia"/>
          <w:bCs/>
          <w:color w:val="0000FF"/>
          <w:kern w:val="0"/>
          <w:sz w:val="24"/>
          <w:szCs w:val="24"/>
          <w:highlight w:val="none"/>
          <w:lang w:val="en-US" w:eastAsia="zh-CN"/>
        </w:rPr>
      </w:pPr>
      <w:r>
        <w:rPr>
          <w:rFonts w:hint="eastAsia" w:asciiTheme="majorEastAsia" w:hAnsiTheme="majorEastAsia" w:eastAsiaTheme="majorEastAsia" w:cstheme="majorEastAsia"/>
          <w:bCs/>
          <w:color w:val="auto"/>
          <w:kern w:val="0"/>
          <w:sz w:val="24"/>
          <w:szCs w:val="24"/>
          <w:highlight w:val="none"/>
          <w:lang w:val="en-US" w:eastAsia="zh-CN"/>
        </w:rPr>
        <w:t>e)测量过程的监视：查:漆膜厚度测量过程，采用统计技术进行控制和监视测量过程。祥见《测量过程监视记录》</w:t>
      </w:r>
    </w:p>
    <w:p>
      <w:pPr>
        <w:spacing w:line="360" w:lineRule="auto"/>
        <w:ind w:firstLine="480" w:firstLineChars="200"/>
        <w:rPr>
          <w:rFonts w:hint="eastAsia" w:asciiTheme="majorEastAsia" w:hAnsiTheme="majorEastAsia" w:eastAsiaTheme="majorEastAsia" w:cstheme="majorEastAsia"/>
          <w:bCs/>
          <w:color w:val="auto"/>
          <w:kern w:val="0"/>
          <w:sz w:val="24"/>
          <w:szCs w:val="24"/>
          <w:highlight w:val="none"/>
          <w:lang w:val="en-US" w:eastAsia="zh-CN"/>
        </w:rPr>
      </w:pPr>
      <w:r>
        <w:rPr>
          <w:rFonts w:hint="eastAsia" w:asciiTheme="majorEastAsia" w:hAnsiTheme="majorEastAsia" w:eastAsiaTheme="majorEastAsia" w:cstheme="majorEastAsia"/>
          <w:bCs/>
          <w:color w:val="auto"/>
          <w:kern w:val="0"/>
          <w:sz w:val="24"/>
          <w:szCs w:val="24"/>
          <w:highlight w:val="none"/>
          <w:lang w:val="en-US" w:eastAsia="zh-CN"/>
        </w:rPr>
        <w:t>f)测量设备的溯源：公司建立7项最高计量标准，开展相关测量设备的检定/校准工作。企业其他测量设备由品质管理部负责组织委外检定/校准。公司测量设备委托徐州市铜山区市场监督综合检验检测中心、广东精衡检测科技有限公司、徐州市检验检测中心、上海市计量测试技术研究院等机构检定/校准，抽查9台测量设备检定/校准证书，溯源满足要求。祥见《测量设备溯源检查表》</w:t>
      </w:r>
    </w:p>
    <w:p>
      <w:pPr>
        <w:spacing w:line="360" w:lineRule="auto"/>
        <w:ind w:firstLine="480" w:firstLineChars="200"/>
        <w:rPr>
          <w:rFonts w:hint="eastAsia" w:asciiTheme="majorEastAsia" w:hAnsiTheme="majorEastAsia" w:eastAsiaTheme="majorEastAsia" w:cstheme="majorEastAsia"/>
          <w:bCs/>
          <w:color w:val="0000FF"/>
          <w:kern w:val="0"/>
          <w:sz w:val="24"/>
          <w:szCs w:val="24"/>
          <w:highlight w:val="none"/>
          <w:lang w:val="en-US" w:eastAsia="zh-CN"/>
        </w:rPr>
      </w:pPr>
    </w:p>
    <w:p>
      <w:pPr>
        <w:spacing w:line="360" w:lineRule="auto"/>
        <w:rPr>
          <w:rFonts w:hint="eastAsia" w:asciiTheme="majorEastAsia" w:hAnsiTheme="majorEastAsia" w:eastAsiaTheme="majorEastAsia" w:cstheme="majorEastAsia"/>
          <w:bCs/>
          <w:color w:val="auto"/>
          <w:kern w:val="0"/>
          <w:sz w:val="24"/>
          <w:szCs w:val="24"/>
          <w:highlight w:val="none"/>
          <w:lang w:val="en-US" w:eastAsia="zh-CN"/>
        </w:rPr>
      </w:pPr>
      <w:r>
        <w:rPr>
          <w:rFonts w:hint="eastAsia" w:asciiTheme="majorEastAsia" w:hAnsiTheme="majorEastAsia" w:eastAsiaTheme="majorEastAsia" w:cstheme="majorEastAsia"/>
          <w:bCs/>
          <w:color w:val="auto"/>
          <w:kern w:val="0"/>
          <w:sz w:val="24"/>
          <w:szCs w:val="24"/>
          <w:highlight w:val="none"/>
          <w:lang w:val="en-US" w:eastAsia="zh-CN"/>
        </w:rPr>
        <w:t>4.能源管理情况：企业能源主要消耗为：电、水、天然气，2021年01月份至2021年11月份共消耗电、水、天然气3376.86吨标煤,不是重点用能单位。</w:t>
      </w:r>
    </w:p>
    <w:p>
      <w:pPr>
        <w:spacing w:line="360" w:lineRule="auto"/>
        <w:ind w:firstLine="480" w:firstLineChars="200"/>
        <w:rPr>
          <w:rFonts w:hint="eastAsia" w:asciiTheme="majorEastAsia" w:hAnsiTheme="majorEastAsia" w:eastAsiaTheme="majorEastAsia" w:cstheme="majorEastAsia"/>
          <w:bCs/>
          <w:color w:val="auto"/>
          <w:kern w:val="0"/>
          <w:sz w:val="24"/>
          <w:szCs w:val="24"/>
          <w:highlight w:val="none"/>
          <w:lang w:val="en-US" w:eastAsia="zh-CN"/>
        </w:rPr>
      </w:pPr>
    </w:p>
    <w:p>
      <w:pPr>
        <w:spacing w:line="360" w:lineRule="auto"/>
        <w:rPr>
          <w:rFonts w:hint="eastAsia" w:asciiTheme="majorEastAsia" w:hAnsiTheme="majorEastAsia" w:eastAsiaTheme="majorEastAsia" w:cstheme="majorEastAsia"/>
          <w:bCs/>
          <w:color w:val="auto"/>
          <w:kern w:val="0"/>
          <w:sz w:val="24"/>
          <w:szCs w:val="24"/>
          <w:highlight w:val="none"/>
          <w:lang w:val="en-US" w:eastAsia="zh-CN"/>
        </w:rPr>
      </w:pPr>
      <w:r>
        <w:rPr>
          <w:rFonts w:hint="eastAsia" w:asciiTheme="majorEastAsia" w:hAnsiTheme="majorEastAsia" w:eastAsiaTheme="majorEastAsia" w:cstheme="majorEastAsia"/>
          <w:bCs/>
          <w:color w:val="auto"/>
          <w:kern w:val="0"/>
          <w:sz w:val="24"/>
          <w:szCs w:val="24"/>
          <w:highlight w:val="none"/>
          <w:lang w:val="en-US" w:eastAsia="zh-CN"/>
        </w:rPr>
        <w:t>5.对认证审核时提出的的不符合项的纠正措施情况： </w:t>
      </w:r>
    </w:p>
    <w:p>
      <w:pPr>
        <w:spacing w:line="360" w:lineRule="auto"/>
        <w:rPr>
          <w:rFonts w:hint="eastAsia" w:asciiTheme="majorEastAsia" w:hAnsiTheme="majorEastAsia" w:eastAsiaTheme="majorEastAsia" w:cstheme="majorEastAsia"/>
          <w:bCs/>
          <w:color w:val="auto"/>
          <w:kern w:val="0"/>
          <w:sz w:val="24"/>
          <w:szCs w:val="24"/>
          <w:highlight w:val="none"/>
          <w:lang w:val="en-US" w:eastAsia="zh-CN"/>
        </w:rPr>
      </w:pPr>
      <w:r>
        <w:rPr>
          <w:rFonts w:hint="eastAsia" w:asciiTheme="majorEastAsia" w:hAnsiTheme="majorEastAsia" w:eastAsiaTheme="majorEastAsia" w:cstheme="majorEastAsia"/>
          <w:bCs/>
          <w:color w:val="auto"/>
          <w:kern w:val="0"/>
          <w:sz w:val="24"/>
          <w:szCs w:val="24"/>
          <w:highlight w:val="none"/>
          <w:lang w:val="en-US" w:eastAsia="zh-CN"/>
        </w:rPr>
        <w:t>5.1 2020年审核发现1个不符合项。</w:t>
      </w:r>
    </w:p>
    <w:p>
      <w:pPr>
        <w:spacing w:line="360" w:lineRule="auto"/>
        <w:ind w:firstLine="480" w:firstLineChars="200"/>
        <w:rPr>
          <w:rFonts w:hint="default" w:asciiTheme="majorEastAsia" w:hAnsiTheme="majorEastAsia" w:eastAsiaTheme="majorEastAsia" w:cstheme="majorEastAsia"/>
          <w:bCs/>
          <w:color w:val="auto"/>
          <w:kern w:val="0"/>
          <w:sz w:val="24"/>
          <w:szCs w:val="24"/>
          <w:highlight w:val="none"/>
          <w:lang w:val="en-US" w:eastAsia="zh-CN"/>
        </w:rPr>
      </w:pPr>
      <w:bookmarkStart w:id="11" w:name="_GoBack"/>
      <w:bookmarkEnd w:id="11"/>
      <w:r>
        <w:rPr>
          <w:rFonts w:hint="eastAsia" w:asciiTheme="majorEastAsia" w:hAnsiTheme="majorEastAsia" w:eastAsiaTheme="majorEastAsia" w:cstheme="majorEastAsia"/>
          <w:bCs/>
          <w:color w:val="auto"/>
          <w:kern w:val="0"/>
          <w:sz w:val="24"/>
          <w:szCs w:val="24"/>
          <w:highlight w:val="none"/>
          <w:lang w:val="en-US" w:eastAsia="zh-CN"/>
        </w:rPr>
        <w:t>查:新能源公司电动汽车绝缘检测作业指导书，1.2整机绝缘电阻应大于或等于5M</w:t>
      </w:r>
      <w:r>
        <w:rPr>
          <w:rFonts w:hint="eastAsia" w:ascii="宋体" w:hAnsi="宋体" w:eastAsia="宋体" w:cs="宋体"/>
          <w:bCs/>
          <w:color w:val="auto"/>
          <w:kern w:val="0"/>
          <w:sz w:val="24"/>
          <w:szCs w:val="24"/>
          <w:highlight w:val="none"/>
          <w:lang w:val="en-US" w:eastAsia="zh-CN"/>
        </w:rPr>
        <w:t>Ω,未识别。</w:t>
      </w:r>
    </w:p>
    <w:p>
      <w:pPr>
        <w:spacing w:line="360" w:lineRule="auto"/>
        <w:ind w:firstLine="480" w:firstLineChars="200"/>
        <w:rPr>
          <w:rFonts w:hint="eastAsia" w:asciiTheme="majorEastAsia" w:hAnsiTheme="majorEastAsia" w:eastAsiaTheme="majorEastAsia" w:cstheme="majorEastAsia"/>
          <w:bCs/>
          <w:color w:val="0000FF"/>
          <w:kern w:val="0"/>
          <w:sz w:val="24"/>
          <w:szCs w:val="24"/>
          <w:highlight w:val="none"/>
          <w:lang w:val="en-US" w:eastAsia="zh-CN"/>
        </w:rPr>
      </w:pPr>
      <w:r>
        <w:rPr>
          <w:rFonts w:hint="eastAsia" w:asciiTheme="majorEastAsia" w:hAnsiTheme="majorEastAsia" w:eastAsiaTheme="majorEastAsia" w:cstheme="majorEastAsia"/>
          <w:bCs/>
          <w:color w:val="auto"/>
          <w:kern w:val="0"/>
          <w:sz w:val="24"/>
          <w:szCs w:val="24"/>
          <w:highlight w:val="none"/>
          <w:lang w:val="en-US" w:eastAsia="zh-CN"/>
        </w:rPr>
        <w:t>企业进行了原因分析，制定了纠正预防措施。不符合项已整改完成，经验证，同意关闭该不符合项。</w:t>
      </w:r>
    </w:p>
    <w:p>
      <w:pPr>
        <w:widowControl/>
        <w:spacing w:line="360" w:lineRule="auto"/>
        <w:ind w:firstLine="480" w:firstLineChars="200"/>
        <w:rPr>
          <w:rFonts w:hint="eastAsia" w:ascii="宋体" w:hAnsi="宋体" w:eastAsia="宋体" w:cs="宋体"/>
          <w:bCs/>
          <w:color w:val="auto"/>
          <w:kern w:val="0"/>
          <w:sz w:val="24"/>
          <w:szCs w:val="24"/>
          <w:lang w:val="en-US" w:eastAsia="zh-CN"/>
        </w:rPr>
      </w:pPr>
    </w:p>
    <w:p>
      <w:pPr>
        <w:widowControl/>
        <w:spacing w:line="360" w:lineRule="auto"/>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lang w:val="en-US" w:eastAsia="zh-CN"/>
        </w:rPr>
        <w:t>6.</w:t>
      </w:r>
      <w:r>
        <w:rPr>
          <w:rFonts w:hint="eastAsia" w:ascii="宋体" w:hAnsi="宋体" w:eastAsia="宋体" w:cs="宋体"/>
          <w:bCs/>
          <w:color w:val="auto"/>
          <w:kern w:val="0"/>
          <w:sz w:val="24"/>
          <w:szCs w:val="24"/>
        </w:rPr>
        <w:t>对投诉的处理情况：</w:t>
      </w:r>
    </w:p>
    <w:p>
      <w:pPr>
        <w:widowControl/>
        <w:spacing w:line="360" w:lineRule="auto"/>
        <w:ind w:firstLine="480" w:firstLineChars="200"/>
        <w:rPr>
          <w:rFonts w:hint="eastAsia" w:ascii="宋体" w:hAnsi="宋体"/>
          <w:color w:val="auto"/>
          <w:sz w:val="24"/>
          <w:szCs w:val="24"/>
        </w:rPr>
      </w:pPr>
      <w:r>
        <w:rPr>
          <w:rFonts w:hint="eastAsia" w:ascii="宋体" w:hAnsi="宋体"/>
          <w:color w:val="auto"/>
          <w:sz w:val="24"/>
          <w:szCs w:val="24"/>
        </w:rPr>
        <w:t>公司目前尚未接到客户在产品质量、物料交接、能源、安全、现场管理等方面的投诉和纠纷。</w:t>
      </w:r>
    </w:p>
    <w:p>
      <w:pPr>
        <w:widowControl/>
        <w:spacing w:line="360" w:lineRule="auto"/>
        <w:ind w:firstLine="480" w:firstLineChars="200"/>
        <w:rPr>
          <w:rFonts w:hint="eastAsia" w:ascii="宋体" w:hAnsi="宋体"/>
          <w:color w:val="auto"/>
          <w:sz w:val="24"/>
          <w:szCs w:val="24"/>
          <w:lang w:val="en-US" w:eastAsia="zh-CN"/>
        </w:rPr>
      </w:pPr>
    </w:p>
    <w:p>
      <w:pPr>
        <w:widowControl/>
        <w:spacing w:line="360" w:lineRule="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7.测量管理体系在实现获证客户目标方面的有效性及持续的运作控制情况：</w:t>
      </w:r>
    </w:p>
    <w:p>
      <w:pPr>
        <w:spacing w:line="360" w:lineRule="auto"/>
        <w:ind w:firstLine="480" w:firstLineChars="200"/>
        <w:rPr>
          <w:rFonts w:hint="eastAsia" w:asciiTheme="majorEastAsia" w:hAnsiTheme="majorEastAsia" w:eastAsiaTheme="majorEastAsia" w:cstheme="majorEastAsia"/>
          <w:bCs/>
          <w:color w:val="auto"/>
          <w:kern w:val="0"/>
          <w:sz w:val="24"/>
          <w:szCs w:val="24"/>
          <w:highlight w:val="none"/>
          <w:lang w:val="en-US" w:eastAsia="zh-CN"/>
        </w:rPr>
      </w:pPr>
      <w:r>
        <w:rPr>
          <w:rFonts w:hint="eastAsia" w:asciiTheme="majorEastAsia" w:hAnsiTheme="majorEastAsia" w:eastAsiaTheme="majorEastAsia" w:cstheme="majorEastAsia"/>
          <w:bCs/>
          <w:color w:val="auto"/>
          <w:kern w:val="0"/>
          <w:sz w:val="24"/>
          <w:szCs w:val="24"/>
          <w:highlight w:val="none"/>
          <w:lang w:val="en-US" w:eastAsia="zh-CN"/>
        </w:rPr>
        <w:t>企业根据测量体系质量方针，</w:t>
      </w:r>
      <w:r>
        <w:rPr>
          <w:rFonts w:hint="eastAsia" w:ascii="宋体" w:hAnsi="宋体"/>
          <w:color w:val="auto"/>
          <w:sz w:val="24"/>
          <w:szCs w:val="24"/>
          <w:lang w:val="en-US" w:eastAsia="zh-CN"/>
        </w:rPr>
        <w:t>制定了6项质量目标，目标可测量。质量目标通过质量工作纲要下发各部门，各部门组织分解，品质管理部每月统计质量目标完成情况。由管理监察部考核。查:2021年1月至11月质量目标全部完成</w:t>
      </w:r>
      <w:r>
        <w:rPr>
          <w:rFonts w:hint="eastAsia" w:ascii="宋体" w:hAnsi="宋体"/>
          <w:bCs/>
          <w:color w:val="0000FF"/>
          <w:szCs w:val="21"/>
          <w:lang w:val="en-US" w:eastAsia="zh-CN"/>
        </w:rPr>
        <w:t>。</w:t>
      </w:r>
      <w:r>
        <w:rPr>
          <w:rFonts w:hint="eastAsia" w:asciiTheme="majorEastAsia" w:hAnsiTheme="majorEastAsia" w:eastAsiaTheme="majorEastAsia" w:cstheme="majorEastAsia"/>
          <w:bCs/>
          <w:color w:val="auto"/>
          <w:kern w:val="0"/>
          <w:sz w:val="24"/>
          <w:szCs w:val="24"/>
          <w:highlight w:val="none"/>
          <w:lang w:val="en-US" w:eastAsia="zh-CN"/>
        </w:rPr>
        <w:t>企业测量体系进一步满足顾客、质量、服务等方面的要求，符合GB/T 19022-2003标准要求。使其更具有动态性和适宜性、有效性及对持续运作的控制。</w:t>
      </w:r>
    </w:p>
    <w:p>
      <w:pPr>
        <w:widowControl/>
        <w:spacing w:line="360" w:lineRule="auto"/>
        <w:rPr>
          <w:rFonts w:hint="eastAsia" w:ascii="宋体" w:hAnsi="宋体" w:eastAsia="宋体" w:cs="宋体"/>
          <w:bCs/>
          <w:color w:val="auto"/>
          <w:kern w:val="0"/>
          <w:sz w:val="24"/>
          <w:szCs w:val="24"/>
          <w:lang w:val="en-US" w:eastAsia="zh-CN"/>
        </w:rPr>
      </w:pPr>
    </w:p>
    <w:p>
      <w:pPr>
        <w:widowControl/>
        <w:spacing w:line="360" w:lineRule="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8.对企业组织任何变更的审核</w:t>
      </w:r>
    </w:p>
    <w:p>
      <w:pPr>
        <w:widowControl/>
        <w:spacing w:line="360" w:lineRule="auto"/>
        <w:ind w:firstLine="480" w:firstLineChars="200"/>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企业组织机构没有变更。营业执照发生了两次变更。2021.5.13发生变更，主要是法人代表由杨东升变更为邱成。具体见《徐州高新技术产业开发区行政局公司准予变更登记通知书》。新营业执照于2021.5.13取得。有效期至：2011年04月19日至******。</w:t>
      </w:r>
    </w:p>
    <w:p>
      <w:pPr>
        <w:widowControl/>
        <w:spacing w:line="360" w:lineRule="auto"/>
        <w:ind w:firstLine="480" w:firstLineChars="200"/>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2021年12月10日营业执照又发生了变更，企业注册资本由165880万元人民币变更为219394万元人民币。具体见《徐州高新技术产业开发区行政局公司准予变更登记通知书》。新营业执照于2021.12.10日取得。有效期至：2011年04月19日至******。</w:t>
      </w:r>
    </w:p>
    <w:p>
      <w:pPr>
        <w:widowControl/>
        <w:spacing w:line="360" w:lineRule="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9.标志的使用和（或）任何其他对认证资格引用的情况：</w:t>
      </w:r>
    </w:p>
    <w:p>
      <w:pPr>
        <w:widowControl/>
        <w:spacing w:line="360" w:lineRule="auto"/>
        <w:ind w:firstLine="480" w:firstLineChars="200"/>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公司对标志的使用，符合相关标准和规定。公司测量管理体系认证证书用于：招投标和企业形象宣传。</w:t>
      </w:r>
    </w:p>
    <w:p>
      <w:pPr>
        <w:widowControl/>
        <w:spacing w:line="360" w:lineRule="auto"/>
        <w:ind w:firstLine="480" w:firstLineChars="200"/>
        <w:rPr>
          <w:rFonts w:hint="eastAsia" w:ascii="宋体" w:hAnsi="宋体" w:eastAsia="宋体" w:cs="宋体"/>
          <w:bCs/>
          <w:color w:val="auto"/>
          <w:kern w:val="0"/>
          <w:sz w:val="24"/>
          <w:szCs w:val="24"/>
          <w:lang w:val="en-US" w:eastAsia="zh-CN"/>
        </w:rPr>
      </w:pPr>
    </w:p>
    <w:p>
      <w:pPr>
        <w:widowControl/>
        <w:spacing w:line="360" w:lineRule="auto"/>
        <w:ind w:firstLine="480" w:firstLineChars="200"/>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本次审核未发现一般不符合项 ，未发现严重或系统性的不符合情况。</w:t>
      </w:r>
    </w:p>
    <w:p>
      <w:pPr>
        <w:widowControl/>
        <w:spacing w:line="360" w:lineRule="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三、监督审核结论意见(含需要说明的事项):</w:t>
      </w:r>
    </w:p>
    <w:p>
      <w:pPr>
        <w:widowControl/>
        <w:spacing w:line="360" w:lineRule="auto"/>
        <w:ind w:firstLine="480" w:firstLineChars="200"/>
        <w:rPr>
          <w:rFonts w:hint="eastAsia" w:cs="宋体" w:asciiTheme="minorEastAsia" w:hAnsiTheme="minorEastAsia"/>
          <w:bCs/>
          <w:color w:val="auto"/>
          <w:kern w:val="0"/>
          <w:sz w:val="24"/>
          <w:szCs w:val="24"/>
        </w:rPr>
      </w:pPr>
      <w:r>
        <w:rPr>
          <w:rFonts w:hint="eastAsia" w:ascii="宋体" w:hAnsi="宋体" w:eastAsia="宋体" w:cs="宋体"/>
          <w:bCs/>
          <w:color w:val="auto"/>
          <w:kern w:val="0"/>
          <w:sz w:val="24"/>
          <w:szCs w:val="24"/>
        </w:rPr>
        <w:t>通过20</w:t>
      </w:r>
      <w:r>
        <w:rPr>
          <w:rFonts w:hint="eastAsia" w:ascii="宋体" w:hAnsi="宋体" w:eastAsia="宋体" w:cs="宋体"/>
          <w:bCs/>
          <w:color w:val="auto"/>
          <w:kern w:val="0"/>
          <w:sz w:val="24"/>
          <w:szCs w:val="24"/>
          <w:lang w:val="en-US" w:eastAsia="zh-CN"/>
        </w:rPr>
        <w:t>21</w:t>
      </w:r>
      <w:r>
        <w:rPr>
          <w:rFonts w:hint="eastAsia" w:ascii="宋体" w:hAnsi="宋体" w:eastAsia="宋体" w:cs="宋体"/>
          <w:bCs/>
          <w:color w:val="auto"/>
          <w:kern w:val="0"/>
          <w:sz w:val="24"/>
          <w:szCs w:val="24"/>
        </w:rPr>
        <w:t>年</w:t>
      </w:r>
      <w:r>
        <w:rPr>
          <w:rFonts w:hint="eastAsia" w:ascii="宋体" w:hAnsi="宋体" w:eastAsia="宋体" w:cs="宋体"/>
          <w:bCs/>
          <w:color w:val="auto"/>
          <w:kern w:val="0"/>
          <w:sz w:val="24"/>
          <w:szCs w:val="24"/>
          <w:lang w:val="en-US" w:eastAsia="zh-CN"/>
        </w:rPr>
        <w:t>12</w:t>
      </w:r>
      <w:r>
        <w:rPr>
          <w:rFonts w:hint="eastAsia" w:ascii="宋体" w:hAnsi="宋体" w:eastAsia="宋体" w:cs="宋体"/>
          <w:bCs/>
          <w:color w:val="auto"/>
          <w:kern w:val="0"/>
          <w:sz w:val="24"/>
          <w:szCs w:val="24"/>
        </w:rPr>
        <w:t>月</w:t>
      </w:r>
      <w:r>
        <w:rPr>
          <w:rFonts w:hint="eastAsia" w:ascii="宋体" w:hAnsi="宋体" w:eastAsia="宋体" w:cs="宋体"/>
          <w:bCs/>
          <w:color w:val="auto"/>
          <w:kern w:val="0"/>
          <w:sz w:val="24"/>
          <w:szCs w:val="24"/>
          <w:lang w:val="en-US" w:eastAsia="zh-CN"/>
        </w:rPr>
        <w:t>17</w:t>
      </w:r>
      <w:r>
        <w:rPr>
          <w:rFonts w:hint="eastAsia" w:cs="宋体" w:asciiTheme="minorEastAsia" w:hAnsiTheme="minorEastAsia"/>
          <w:bCs/>
          <w:color w:val="auto"/>
          <w:kern w:val="0"/>
          <w:sz w:val="24"/>
          <w:szCs w:val="24"/>
        </w:rPr>
        <w:t>日，对</w:t>
      </w:r>
      <w:r>
        <w:rPr>
          <w:rFonts w:hint="eastAsia" w:cs="宋体" w:asciiTheme="minorEastAsia" w:hAnsiTheme="minorEastAsia"/>
          <w:bCs/>
          <w:color w:val="auto"/>
          <w:kern w:val="0"/>
          <w:sz w:val="24"/>
          <w:szCs w:val="24"/>
          <w:lang w:eastAsia="zh-CN"/>
        </w:rPr>
        <w:t>徐州徐工汽车制造有限公司</w:t>
      </w:r>
      <w:r>
        <w:rPr>
          <w:rFonts w:hint="eastAsia" w:cs="宋体" w:asciiTheme="minorEastAsia" w:hAnsiTheme="minorEastAsia"/>
          <w:bCs/>
          <w:color w:val="auto"/>
          <w:kern w:val="0"/>
          <w:sz w:val="24"/>
          <w:szCs w:val="24"/>
        </w:rPr>
        <w:t>监督审核.验证了公司在去年一年内，测量管理体系运作情况，公司领导重视体系运行和管理，体系文件得到有效实施，关键测量过程受控、监视方法正确有效，重要测量人员能力受控，测量设备、测量环境、测量软件、测量记录及外部供方管理等各项工作管理规范，使公司测量体系持续满足顾客的测量要求。综上所述，审核组认为</w:t>
      </w:r>
      <w:r>
        <w:rPr>
          <w:rFonts w:hint="eastAsia" w:cs="宋体" w:asciiTheme="minorEastAsia" w:hAnsiTheme="minorEastAsia"/>
          <w:bCs/>
          <w:color w:val="auto"/>
          <w:kern w:val="0"/>
          <w:sz w:val="24"/>
          <w:szCs w:val="24"/>
          <w:lang w:eastAsia="zh-CN"/>
        </w:rPr>
        <w:t>徐州徐工汽车制造有限公司</w:t>
      </w:r>
      <w:r>
        <w:rPr>
          <w:rFonts w:hint="eastAsia" w:cs="宋体" w:asciiTheme="minorEastAsia" w:hAnsiTheme="minorEastAsia"/>
          <w:bCs/>
          <w:color w:val="auto"/>
          <w:kern w:val="0"/>
          <w:sz w:val="24"/>
          <w:szCs w:val="24"/>
        </w:rPr>
        <w:t>测量管理体系，符合GB/T 19022-2003标准要求，对体系运行具有持续的有效性、符合性予以肯定。建议报请国标联合认证有限公司批准通过监督审核。</w:t>
      </w:r>
    </w:p>
    <w:p>
      <w:pPr>
        <w:widowControl/>
        <w:spacing w:line="360" w:lineRule="auto"/>
        <w:rPr>
          <w:rFonts w:hint="eastAsia" w:cs="宋体" w:asciiTheme="minorEastAsia" w:hAnsiTheme="minorEastAsia"/>
          <w:bCs/>
          <w:color w:val="0000FF"/>
          <w:kern w:val="0"/>
          <w:sz w:val="24"/>
          <w:szCs w:val="24"/>
        </w:rPr>
      </w:pPr>
      <w:r>
        <w:rPr>
          <w:rFonts w:hint="eastAsia"/>
          <w:color w:val="0000FF"/>
          <w:sz w:val="24"/>
          <w:szCs w:val="24"/>
        </w:rPr>
        <w:drawing>
          <wp:anchor distT="0" distB="0" distL="114300" distR="114300" simplePos="0" relativeHeight="251678720" behindDoc="0" locked="0" layoutInCell="1" allowOverlap="1">
            <wp:simplePos x="0" y="0"/>
            <wp:positionH relativeFrom="column">
              <wp:posOffset>1389380</wp:posOffset>
            </wp:positionH>
            <wp:positionV relativeFrom="paragraph">
              <wp:posOffset>208280</wp:posOffset>
            </wp:positionV>
            <wp:extent cx="614680" cy="385445"/>
            <wp:effectExtent l="0" t="0" r="0" b="5080"/>
            <wp:wrapNone/>
            <wp:docPr id="4" name="图片 2" descr="我电子签名92764bb375c44007ba1788b07a13b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我电子签名92764bb375c44007ba1788b07a13b84"/>
                    <pic:cNvPicPr>
                      <a:picLocks noChangeAspect="1"/>
                    </pic:cNvPicPr>
                  </pic:nvPicPr>
                  <pic:blipFill>
                    <a:blip r:embed="rId6"/>
                    <a:stretch>
                      <a:fillRect/>
                    </a:stretch>
                  </pic:blipFill>
                  <pic:spPr>
                    <a:xfrm>
                      <a:off x="0" y="0"/>
                      <a:ext cx="614680" cy="385445"/>
                    </a:xfrm>
                    <a:prstGeom prst="rect">
                      <a:avLst/>
                    </a:prstGeom>
                    <a:noFill/>
                    <a:ln>
                      <a:noFill/>
                    </a:ln>
                  </pic:spPr>
                </pic:pic>
              </a:graphicData>
            </a:graphic>
          </wp:anchor>
        </w:drawing>
      </w:r>
    </w:p>
    <w:p>
      <w:pPr>
        <w:widowControl/>
        <w:spacing w:line="360" w:lineRule="auto"/>
        <w:jc w:val="left"/>
        <w:rPr>
          <w:rFonts w:hint="default" w:ascii="宋体" w:hAnsi="宋体" w:eastAsia="宋体" w:cs="宋体"/>
          <w:color w:val="auto"/>
          <w:kern w:val="0"/>
          <w:szCs w:val="21"/>
          <w:lang w:val="en-US" w:eastAsia="zh-CN"/>
        </w:rPr>
      </w:pPr>
      <w:r>
        <w:rPr>
          <w:rFonts w:ascii="宋体" w:hAnsi="宋体" w:eastAsia="宋体" w:cs="宋体"/>
          <w:color w:val="auto"/>
          <w:kern w:val="0"/>
          <w:szCs w:val="21"/>
        </w:rPr>
        <w:t>审核组组长（签字）：</w:t>
      </w:r>
      <w:r>
        <w:rPr>
          <w:rFonts w:hint="eastAsia" w:ascii="宋体" w:hAnsi="宋体" w:eastAsia="宋体" w:cs="宋体"/>
          <w:color w:val="auto"/>
          <w:kern w:val="0"/>
          <w:szCs w:val="21"/>
        </w:rPr>
        <w:t xml:space="preserve">                                 </w:t>
      </w:r>
      <w:r>
        <w:rPr>
          <w:rFonts w:ascii="宋体" w:hAnsi="宋体" w:eastAsia="宋体" w:cs="宋体"/>
          <w:color w:val="auto"/>
          <w:kern w:val="0"/>
          <w:szCs w:val="21"/>
        </w:rPr>
        <w:t>日</w:t>
      </w:r>
      <w:r>
        <w:rPr>
          <w:rFonts w:hint="eastAsia" w:ascii="宋体" w:hAnsi="宋体" w:eastAsia="宋体" w:cs="宋体"/>
          <w:color w:val="auto"/>
          <w:kern w:val="0"/>
          <w:szCs w:val="21"/>
        </w:rPr>
        <w:t xml:space="preserve"> </w:t>
      </w:r>
      <w:r>
        <w:rPr>
          <w:rFonts w:ascii="宋体" w:hAnsi="宋体" w:eastAsia="宋体" w:cs="宋体"/>
          <w:color w:val="auto"/>
          <w:kern w:val="0"/>
          <w:szCs w:val="21"/>
        </w:rPr>
        <w:t>期：</w:t>
      </w:r>
      <w:r>
        <w:rPr>
          <w:rFonts w:hint="eastAsia" w:ascii="宋体" w:hAnsi="宋体" w:eastAsia="宋体" w:cs="宋体"/>
          <w:color w:val="auto"/>
          <w:kern w:val="0"/>
          <w:szCs w:val="21"/>
          <w:lang w:val="en-US" w:eastAsia="zh-CN"/>
        </w:rPr>
        <w:t>2021.12.17</w:t>
      </w:r>
    </w:p>
    <w:p>
      <w:pPr>
        <w:widowControl/>
        <w:spacing w:line="360" w:lineRule="auto"/>
        <w:jc w:val="left"/>
        <w:rPr>
          <w:rFonts w:ascii="宋体" w:hAnsi="宋体" w:eastAsia="宋体" w:cs="宋体"/>
          <w:kern w:val="0"/>
          <w:szCs w:val="21"/>
        </w:rPr>
      </w:pPr>
      <w:r>
        <w:rPr>
          <w:rFonts w:hint="eastAsia" w:eastAsia="宋体"/>
          <w:lang w:eastAsia="zh-CN"/>
        </w:rPr>
        <w:drawing>
          <wp:anchor distT="0" distB="0" distL="114300" distR="114300" simplePos="0" relativeHeight="251680768" behindDoc="0" locked="0" layoutInCell="1" allowOverlap="1">
            <wp:simplePos x="0" y="0"/>
            <wp:positionH relativeFrom="column">
              <wp:posOffset>1308735</wp:posOffset>
            </wp:positionH>
            <wp:positionV relativeFrom="paragraph">
              <wp:posOffset>261620</wp:posOffset>
            </wp:positionV>
            <wp:extent cx="730885" cy="377825"/>
            <wp:effectExtent l="0" t="0" r="0" b="3175"/>
            <wp:wrapNone/>
            <wp:docPr id="2" name="图片 2" descr="4595640c9b7caa580f4578d06fc2b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4595640c9b7caa580f4578d06fc2b26"/>
                    <pic:cNvPicPr>
                      <a:picLocks noChangeAspect="1"/>
                    </pic:cNvPicPr>
                  </pic:nvPicPr>
                  <pic:blipFill>
                    <a:blip r:embed="rId7"/>
                    <a:stretch>
                      <a:fillRect/>
                    </a:stretch>
                  </pic:blipFill>
                  <pic:spPr>
                    <a:xfrm>
                      <a:off x="0" y="0"/>
                      <a:ext cx="730885" cy="377825"/>
                    </a:xfrm>
                    <a:prstGeom prst="rect">
                      <a:avLst/>
                    </a:prstGeom>
                    <a:noFill/>
                    <a:ln>
                      <a:noFill/>
                    </a:ln>
                  </pic:spPr>
                </pic:pic>
              </a:graphicData>
            </a:graphic>
          </wp:anchor>
        </w:drawing>
      </w:r>
    </w:p>
    <w:p>
      <w:pPr>
        <w:widowControl/>
        <w:spacing w:line="360" w:lineRule="auto"/>
        <w:jc w:val="left"/>
        <w:rPr>
          <w:rFonts w:hint="eastAsia" w:ascii="宋体" w:hAnsi="宋体" w:eastAsia="宋体" w:cs="宋体"/>
          <w:color w:val="000000"/>
          <w:kern w:val="0"/>
          <w:szCs w:val="21"/>
          <w:lang w:val="en-US" w:eastAsia="zh-CN"/>
        </w:rPr>
      </w:pPr>
      <w:r>
        <w:rPr>
          <w:rFonts w:ascii="宋体" w:hAnsi="宋体" w:eastAsia="宋体" w:cs="宋体"/>
          <w:color w:val="000000"/>
          <w:kern w:val="0"/>
          <w:szCs w:val="21"/>
        </w:rPr>
        <w:t>审核</w:t>
      </w:r>
      <w:r>
        <w:rPr>
          <w:rFonts w:hint="eastAsia" w:ascii="宋体" w:hAnsi="宋体" w:eastAsia="宋体" w:cs="宋体"/>
          <w:color w:val="000000"/>
          <w:kern w:val="0"/>
          <w:szCs w:val="21"/>
        </w:rPr>
        <w:t>组成员(</w:t>
      </w:r>
      <w:r>
        <w:rPr>
          <w:rFonts w:ascii="宋体" w:hAnsi="宋体" w:eastAsia="宋体" w:cs="宋体"/>
          <w:color w:val="000000"/>
          <w:kern w:val="0"/>
          <w:szCs w:val="21"/>
        </w:rPr>
        <w:t>签字</w:t>
      </w:r>
      <w:r>
        <w:rPr>
          <w:rFonts w:hint="eastAsia" w:ascii="宋体" w:hAnsi="宋体" w:eastAsia="宋体" w:cs="宋体"/>
          <w:color w:val="000000"/>
          <w:kern w:val="0"/>
          <w:szCs w:val="21"/>
        </w:rPr>
        <w:t>)</w:t>
      </w:r>
      <w:r>
        <w:rPr>
          <w:rFonts w:ascii="宋体" w:hAnsi="宋体" w:eastAsia="宋体" w:cs="宋体"/>
          <w:color w:val="000000"/>
          <w:kern w:val="0"/>
          <w:szCs w:val="21"/>
        </w:rPr>
        <w:t>：</w:t>
      </w:r>
      <w:r>
        <w:rPr>
          <w:rFonts w:hint="eastAsia" w:ascii="宋体" w:hAnsi="宋体" w:eastAsia="宋体" w:cs="宋体"/>
          <w:color w:val="000000"/>
          <w:kern w:val="0"/>
          <w:szCs w:val="21"/>
        </w:rPr>
        <w:t xml:space="preserve">                                  </w:t>
      </w:r>
      <w:r>
        <w:rPr>
          <w:rFonts w:ascii="宋体" w:hAnsi="宋体" w:eastAsia="宋体" w:cs="宋体"/>
          <w:color w:val="000000"/>
          <w:kern w:val="0"/>
          <w:szCs w:val="21"/>
        </w:rPr>
        <w:t>日</w:t>
      </w:r>
      <w:r>
        <w:rPr>
          <w:rFonts w:hint="eastAsia" w:ascii="宋体" w:hAnsi="宋体" w:eastAsia="宋体" w:cs="宋体"/>
          <w:color w:val="000000"/>
          <w:kern w:val="0"/>
          <w:szCs w:val="21"/>
        </w:rPr>
        <w:t xml:space="preserve"> </w:t>
      </w:r>
      <w:r>
        <w:rPr>
          <w:rFonts w:ascii="宋体" w:hAnsi="宋体" w:eastAsia="宋体" w:cs="宋体"/>
          <w:color w:val="000000"/>
          <w:kern w:val="0"/>
          <w:szCs w:val="21"/>
        </w:rPr>
        <w:t>期：</w:t>
      </w:r>
      <w:r>
        <w:rPr>
          <w:rFonts w:hint="eastAsia" w:ascii="宋体" w:hAnsi="宋体" w:eastAsia="宋体" w:cs="宋体"/>
          <w:color w:val="auto"/>
          <w:kern w:val="0"/>
          <w:szCs w:val="21"/>
          <w:lang w:val="en-US" w:eastAsia="zh-CN"/>
        </w:rPr>
        <w:t>2021.12.17</w:t>
      </w:r>
    </w:p>
    <w:p>
      <w:pPr>
        <w:widowControl/>
        <w:spacing w:line="276" w:lineRule="auto"/>
        <w:ind w:right="945"/>
        <w:jc w:val="left"/>
        <w:rPr>
          <w:rFonts w:ascii="宋体" w:hAnsi="宋体" w:eastAsia="宋体" w:cs="宋体"/>
          <w:kern w:val="0"/>
          <w:szCs w:val="28"/>
        </w:rPr>
      </w:pPr>
    </w:p>
    <w:p>
      <w:pPr>
        <w:widowControl/>
        <w:spacing w:line="276" w:lineRule="auto"/>
        <w:rPr>
          <w:rFonts w:cs="宋体" w:asciiTheme="minorEastAsia" w:hAnsiTheme="minorEastAsia"/>
          <w:bCs/>
          <w:kern w:val="0"/>
          <w:szCs w:val="21"/>
        </w:rPr>
      </w:pPr>
    </w:p>
    <w:p>
      <w:pPr>
        <w:widowControl/>
        <w:spacing w:line="276" w:lineRule="auto"/>
        <w:ind w:right="1050"/>
        <w:rPr>
          <w:rFonts w:ascii="宋体" w:hAnsi="宋体" w:eastAsia="宋体" w:cs="宋体"/>
          <w:b/>
          <w:bCs/>
          <w:kern w:val="0"/>
          <w:szCs w:val="21"/>
        </w:rPr>
      </w:pPr>
    </w:p>
    <w:p>
      <w:pPr>
        <w:widowControl/>
        <w:spacing w:line="360" w:lineRule="auto"/>
        <w:jc w:val="left"/>
        <w:rPr>
          <w:rFonts w:ascii="宋体" w:hAnsi="宋体" w:cs="宋体"/>
          <w:kern w:val="0"/>
          <w:szCs w:val="21"/>
        </w:rPr>
      </w:pPr>
      <w:r>
        <w:rPr>
          <w:rFonts w:hint="eastAsia" w:ascii="宋体" w:hAnsi="宋体" w:cs="宋体"/>
          <w:kern w:val="0"/>
          <w:szCs w:val="21"/>
        </w:rPr>
        <w:t>北京国标联合认证有限公司(盖章)                       日 期：</w:t>
      </w:r>
    </w:p>
    <w:p>
      <w:pPr>
        <w:widowControl/>
        <w:spacing w:line="276" w:lineRule="auto"/>
        <w:ind w:right="1050"/>
        <w:rPr>
          <w:rFonts w:ascii="宋体" w:hAnsi="宋体" w:eastAsia="宋体" w:cs="宋体"/>
          <w:kern w:val="0"/>
          <w:szCs w:val="28"/>
        </w:rPr>
      </w:pPr>
    </w:p>
    <w:sectPr>
      <w:headerReference r:id="rId3" w:type="default"/>
      <w:pgSz w:w="11906" w:h="16838"/>
      <w:pgMar w:top="1440" w:right="1800" w:bottom="1440" w:left="1800" w:header="39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43"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MS PGothic">
    <w:panose1 w:val="020B0600070205080204"/>
    <w:charset w:val="80"/>
    <w:family w:val="swiss"/>
    <w:pitch w:val="default"/>
    <w:sig w:usb0="E00002FF" w:usb1="6AC7FDFB" w:usb2="08000012" w:usb3="00000000" w:csb0="4002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spacing w:line="320" w:lineRule="exact"/>
      <w:ind w:left="-86" w:leftChars="-41" w:firstLine="720" w:firstLineChars="400"/>
      <w:jc w:val="left"/>
    </w:pPr>
    <w:bookmarkStart w:id="10" w:name="OLE_LINK1"/>
    <w: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78155" cy="482600"/>
                  </a:xfrm>
                  <a:prstGeom prst="rect">
                    <a:avLst/>
                  </a:prstGeom>
                </pic:spPr>
              </pic:pic>
            </a:graphicData>
          </a:graphic>
        </wp:anchor>
      </w:drawing>
    </w:r>
    <w:r>
      <w:tab/>
    </w:r>
  </w:p>
  <w:p>
    <w:pPr>
      <w:pStyle w:val="3"/>
      <w:pBdr>
        <w:bottom w:val="none" w:color="auto" w:sz="0" w:space="0"/>
      </w:pBdr>
      <w:spacing w:line="320" w:lineRule="exact"/>
      <w:ind w:firstLine="315" w:firstLineChars="150"/>
      <w:jc w:val="left"/>
      <w:rPr>
        <w:rStyle w:val="8"/>
        <w:rFonts w:hint="default" w:ascii="Times New Roman" w:hAnsi="Times New Roman" w:cs="Times New Roman"/>
        <w:szCs w:val="21"/>
      </w:rPr>
    </w:pPr>
    <w:r>
      <w:rPr>
        <w:sz w:val="21"/>
        <w:szCs w:val="21"/>
      </w:rPr>
      <w:pict>
        <v:shape id="_x0000_s2049" o:spid="_x0000_s2049" o:spt="202" type="#_x0000_t202" style="position:absolute;left:0pt;margin-left:288.95pt;margin-top:15.6pt;height:20.6pt;width:173.9pt;z-index:251658240;mso-width-relative:page;mso-height-relative:page;" stroked="f" coordsize="21600,21600">
          <v:path/>
          <v:fill focussize="0,0"/>
          <v:stroke on="f" joinstyle="miter"/>
          <v:imagedata o:title=""/>
          <o:lock v:ext="edit"/>
          <v:textbox>
            <w:txbxContent>
              <w:p>
                <w:pPr>
                  <w:rPr>
                    <w:sz w:val="18"/>
                    <w:szCs w:val="18"/>
                  </w:rPr>
                </w:pPr>
                <w:r>
                  <w:rPr>
                    <w:rFonts w:ascii="Times New Roman" w:hAnsi="Times New Roman" w:cs="Times New Roman"/>
                    <w:szCs w:val="21"/>
                  </w:rPr>
                  <w:t>ISC-</w:t>
                </w:r>
                <w:r>
                  <w:rPr>
                    <w:rFonts w:hint="eastAsia" w:ascii="Times New Roman" w:hAnsi="Times New Roman" w:cs="Times New Roman"/>
                    <w:szCs w:val="21"/>
                  </w:rPr>
                  <w:t>A-II</w:t>
                </w:r>
                <w:r>
                  <w:rPr>
                    <w:rFonts w:ascii="Times New Roman" w:hAnsi="Times New Roman" w:cs="Times New Roman"/>
                    <w:szCs w:val="21"/>
                  </w:rPr>
                  <w:t>-1</w:t>
                </w:r>
                <w:r>
                  <w:rPr>
                    <w:rFonts w:hint="eastAsia" w:ascii="Times New Roman" w:hAnsi="Times New Roman" w:cs="Times New Roman"/>
                    <w:szCs w:val="21"/>
                  </w:rPr>
                  <w:t>2</w:t>
                </w:r>
                <w:r>
                  <w:rPr>
                    <w:rFonts w:hint="eastAsia"/>
                    <w:szCs w:val="21"/>
                  </w:rPr>
                  <w:t>监督审核报告</w:t>
                </w:r>
                <w:r>
                  <w:rPr>
                    <w:rFonts w:ascii="Times New Roman" w:hAnsi="Times New Roman" w:cs="Times New Roman"/>
                    <w:szCs w:val="21"/>
                  </w:rPr>
                  <w:t>（0</w:t>
                </w:r>
                <w:r>
                  <w:rPr>
                    <w:rFonts w:hint="eastAsia" w:ascii="Times New Roman" w:hAnsi="Times New Roman" w:cs="Times New Roman"/>
                    <w:szCs w:val="21"/>
                  </w:rPr>
                  <w:t>7</w:t>
                </w:r>
                <w:r>
                  <w:rPr>
                    <w:rFonts w:ascii="Times New Roman" w:hAnsi="Times New Roman" w:cs="Times New Roman"/>
                    <w:szCs w:val="21"/>
                  </w:rPr>
                  <w:t>版）</w:t>
                </w:r>
              </w:p>
            </w:txbxContent>
          </v:textbox>
        </v:shape>
      </w:pict>
    </w:r>
    <w:r>
      <w:rPr>
        <w:rStyle w:val="8"/>
        <w:rFonts w:hint="default" w:ascii="Times New Roman" w:hAnsi="Times New Roman" w:cs="Times New Roman"/>
        <w:szCs w:val="21"/>
      </w:rPr>
      <w:t>北京国标联合认证有限公司</w:t>
    </w:r>
  </w:p>
  <w:p>
    <w:pPr>
      <w:pStyle w:val="3"/>
      <w:pBdr>
        <w:bottom w:val="none" w:color="auto" w:sz="0" w:space="0"/>
      </w:pBdr>
      <w:spacing w:line="320" w:lineRule="exact"/>
      <w:ind w:firstLine="330" w:firstLineChars="197"/>
      <w:jc w:val="left"/>
    </w:pPr>
    <w:r>
      <w:rPr>
        <w:rStyle w:val="8"/>
        <w:rFonts w:hint="default" w:ascii="Times New Roman" w:hAnsi="Times New Roman" w:cs="Times New Roman"/>
        <w:w w:val="80"/>
        <w:szCs w:val="21"/>
      </w:rPr>
      <w:t>Beijing International Standard united Certification Co.,Ltd.</w:t>
    </w:r>
  </w:p>
  <w:p>
    <w:pPr>
      <w:rPr>
        <w:sz w:val="18"/>
        <w:szCs w:val="18"/>
      </w:rPr>
    </w:pPr>
    <w:r>
      <w:rPr>
        <w:sz w:val="18"/>
      </w:rPr>
      <w:pict>
        <v:line id="直线 3" o:spid="_x0000_s2050" o:spt="20" style="position:absolute;left:0pt;margin-left:-23.7pt;margin-top:2.35pt;height:0.7pt;width:460.6pt;z-index:251659264;mso-width-relative:page;mso-height-relative:page;" coordsize="21600,21600">
          <v:path arrowok="t"/>
          <v:fill focussize="0,0"/>
          <v:stroke/>
          <v:imagedata o:title=""/>
          <o:lock v:ext="edit"/>
        </v:line>
      </w:pict>
    </w:r>
    <w:bookmarkEnd w:id="1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068696A"/>
    <w:rsid w:val="0ADF0783"/>
    <w:rsid w:val="323071A7"/>
    <w:rsid w:val="330D1D75"/>
    <w:rsid w:val="362B706C"/>
    <w:rsid w:val="3EEB7D26"/>
    <w:rsid w:val="475A3A3C"/>
    <w:rsid w:val="48E9088D"/>
    <w:rsid w:val="4E832CC6"/>
    <w:rsid w:val="64BD2B4B"/>
    <w:rsid w:val="64EC6F54"/>
    <w:rsid w:val="6D687B70"/>
    <w:rsid w:val="6E0662A5"/>
    <w:rsid w:val="7EE46708"/>
    <w:rsid w:val="7F8405F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Font Style99"/>
    <w:uiPriority w:val="0"/>
    <w:rPr>
      <w:rFonts w:ascii="黑体" w:eastAsia="黑体" w:cs="黑体"/>
      <w:sz w:val="20"/>
      <w:szCs w:val="20"/>
    </w:rPr>
  </w:style>
  <w:style w:type="character" w:customStyle="1" w:styleId="10">
    <w:name w:val="Font Style137"/>
    <w:qFormat/>
    <w:uiPriority w:val="0"/>
    <w:rPr>
      <w:rFonts w:ascii="黑体" w:eastAsia="黑体" w:cs="黑体"/>
      <w:sz w:val="20"/>
      <w:szCs w:val="20"/>
    </w:rPr>
  </w:style>
  <w:style w:type="paragraph" w:styleId="11">
    <w:name w:val="List Paragraph"/>
    <w:basedOn w:val="1"/>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323</Words>
  <Characters>1844</Characters>
  <Lines>15</Lines>
  <Paragraphs>4</Paragraphs>
  <TotalTime>17</TotalTime>
  <ScaleCrop>false</ScaleCrop>
  <LinksUpToDate>false</LinksUpToDate>
  <CharactersWithSpaces>2163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2015-10-10T03:59:00Z</dcterms:created>
  <dc:creator>alexander chang</dc:creator>
  <cp:lastModifiedBy>win8</cp:lastModifiedBy>
  <cp:lastPrinted>2017-09-01T06:24:00Z</cp:lastPrinted>
  <dcterms:modified xsi:type="dcterms:W3CDTF">2021-12-17T07:48:24Z</dcterms:modified>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