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1158-2021-EnMs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福建隆源纺织有限公司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福建隆源纺织有限公司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尤溪县经济开发区城西园</w:t>
            </w:r>
            <w:bookmarkEnd w:id="6"/>
          </w:p>
        </w:tc>
        <w:tc>
          <w:tcPr>
            <w:tcW w:w="1242" w:type="dxa"/>
            <w:vMerge w:val="restart"/>
            <w:vAlign w:val="center"/>
          </w:tcPr>
          <w:p>
            <w:r>
              <w:rPr>
                <w:rFonts w:hint="eastAsia"/>
              </w:rPr>
              <w:t>邮编</w:t>
            </w:r>
          </w:p>
        </w:tc>
        <w:tc>
          <w:tcPr>
            <w:tcW w:w="1771" w:type="dxa"/>
          </w:tcPr>
          <w:p>
            <w:bookmarkStart w:id="7" w:name="注册邮编"/>
            <w:r>
              <w:t>365100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尤溪县经济开发区城西园</w:t>
            </w:r>
            <w:bookmarkEnd w:id="8"/>
          </w:p>
        </w:tc>
        <w:tc>
          <w:tcPr>
            <w:tcW w:w="1242" w:type="dxa"/>
            <w:vMerge w:val="continue"/>
            <w:vAlign w:val="center"/>
          </w:tcPr>
          <w:p/>
        </w:tc>
        <w:tc>
          <w:tcPr>
            <w:tcW w:w="1771" w:type="dxa"/>
          </w:tcPr>
          <w:p>
            <w:bookmarkStart w:id="9" w:name="办公邮编"/>
            <w:r>
              <w:t>365100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吴树天</w:t>
            </w:r>
            <w:bookmarkEnd w:id="10"/>
          </w:p>
        </w:tc>
        <w:tc>
          <w:tcPr>
            <w:tcW w:w="1313" w:type="dxa"/>
            <w:vAlign w:val="center"/>
          </w:tcPr>
          <w:p>
            <w:r>
              <w:rPr>
                <w:rFonts w:hint="eastAsia"/>
              </w:rPr>
              <w:t>电话.</w:t>
            </w:r>
          </w:p>
        </w:tc>
        <w:tc>
          <w:tcPr>
            <w:tcW w:w="2180" w:type="dxa"/>
            <w:vAlign w:val="center"/>
          </w:tcPr>
          <w:p>
            <w:bookmarkStart w:id="11" w:name="联系人电话"/>
            <w:r>
              <w:t>18150777756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郑永清</w:t>
            </w:r>
            <w:bookmarkEnd w:id="13"/>
          </w:p>
        </w:tc>
        <w:tc>
          <w:tcPr>
            <w:tcW w:w="1313" w:type="dxa"/>
            <w:vAlign w:val="center"/>
          </w:tcPr>
          <w:p>
            <w:r>
              <w:rPr>
                <w:rFonts w:hint="eastAsia"/>
              </w:rPr>
              <w:t>管理者代表</w:t>
            </w:r>
          </w:p>
        </w:tc>
        <w:tc>
          <w:tcPr>
            <w:tcW w:w="2180" w:type="dxa"/>
          </w:tcPr>
          <w:p>
            <w:bookmarkStart w:id="14" w:name="管理者代表"/>
            <w:r>
              <w:t>林济宝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 xml:space="preserve">受审核组织的班次：□单班 □双班 </w:t>
            </w:r>
            <w:r>
              <w:rPr>
                <w:rFonts w:hint="eastAsia"/>
                <w:lang w:eastAsia="zh-CN"/>
              </w:rPr>
              <w:t>☑</w:t>
            </w:r>
            <w:r>
              <w:rPr>
                <w:rFonts w:hint="eastAsia"/>
              </w:rPr>
              <w:t>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eastAsia" w:ascii="Times New Roman" w:hAnsi="Times New Roman" w:cs="Times New Roman"/>
              </w:rPr>
            </w:pPr>
            <w:r>
              <w:rPr>
                <w:rFonts w:hint="eastAsia" w:ascii="Times New Roman" w:hAnsi="Times New Roman" w:cs="Times New Roman"/>
                <w:lang w:val="en-US" w:eastAsia="zh-CN"/>
              </w:rPr>
              <w:t>清梳联合机组→高速并条机→计算机控制的粗纱机→高效细纱机→进口自动络筒机，</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0"/>
        <w:gridCol w:w="412"/>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2021年11月20日 下午至2021年11月22日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eastAsia="zh-CN"/>
              </w:rPr>
              <w:t>☑</w:t>
            </w:r>
            <w:r>
              <w:rPr>
                <w:rFonts w:hint="eastAsia"/>
              </w:rPr>
              <w:t>GB/T 23331-2020/</w:t>
            </w:r>
            <w:r>
              <w:rPr>
                <w:rFonts w:hint="eastAsia"/>
                <w:lang w:val="de-DE"/>
              </w:rPr>
              <w:t xml:space="preserve">ISO50001：2018标准  </w:t>
            </w:r>
          </w:p>
          <w:p>
            <w:r>
              <w:rPr>
                <w:rFonts w:hint="eastAsia"/>
                <w:lang w:val="de-DE" w:eastAsia="zh-CN"/>
              </w:rPr>
              <w:t>☑</w:t>
            </w:r>
            <w:r>
              <w:rPr>
                <w:rFonts w:hint="default" w:ascii="Times New Roman" w:hAnsi="Times New Roman" w:eastAsia="宋体" w:cs="Times New Roman"/>
                <w:lang w:val="de-DE" w:eastAsia="zh-CN"/>
              </w:rPr>
              <w:t>RB</w:t>
            </w:r>
            <w:r>
              <w:rPr>
                <w:rFonts w:hint="eastAsia" w:ascii="Times New Roman" w:hAnsi="Times New Roman" w:eastAsia="宋体" w:cs="Times New Roman"/>
                <w:lang w:val="en-US" w:eastAsia="zh-CN"/>
              </w:rPr>
              <w:t>/</w:t>
            </w:r>
            <w:r>
              <w:rPr>
                <w:rFonts w:hint="default" w:ascii="Times New Roman" w:hAnsi="Times New Roman" w:eastAsia="宋体" w:cs="Times New Roman"/>
                <w:lang w:val="de-DE" w:eastAsia="zh-CN"/>
              </w:rPr>
              <w:t>T 102-2013</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de-DE" w:eastAsia="zh-CN"/>
              </w:rPr>
              <w:fldChar w:fldCharType="begin"/>
            </w:r>
            <w:r>
              <w:rPr>
                <w:rFonts w:hint="default" w:ascii="Times New Roman" w:hAnsi="Times New Roman" w:eastAsia="宋体" w:cs="Times New Roman"/>
                <w:lang w:val="de-DE" w:eastAsia="zh-CN"/>
              </w:rPr>
              <w:instrText xml:space="preserve"> HYPERLINK "https://www.so.com/link?m=bPZ4MGQR2DRhemJBhwaEKPhbew2Xfq03m20eVLI8ynCIEFDAnitJlOV9dYgibSbFe8to7Z380z2gMnPS2Bkw2chHlt/QPkeCYDc1eWzR+Lm9UScEu+T2XHHZ50DHuNJSYrrEnj77co4JuoznX9r4Agoxe+DaLT3AnPAvLrV/CH6MDcCRCQjnCz6h6n6aXgNq0Uq1grDHMc82SpSmzp0mshEFUYsfDTG1Yh+WR6Wnoew/7k/YngZi1h5UEFM4DhCwTm8uU/PY1ZK3g+6E/EAoRXYQDtb4cCYW+YwdC4V8HCkvOW+Zqx0LXf7lXXik=" \t "https://www.so.com/_blank" </w:instrText>
            </w:r>
            <w:r>
              <w:rPr>
                <w:rFonts w:hint="default" w:ascii="Times New Roman" w:hAnsi="Times New Roman" w:eastAsia="宋体" w:cs="Times New Roman"/>
                <w:lang w:val="de-DE" w:eastAsia="zh-CN"/>
              </w:rPr>
              <w:fldChar w:fldCharType="separate"/>
            </w:r>
            <w:r>
              <w:rPr>
                <w:rFonts w:hint="default" w:ascii="Times New Roman" w:hAnsi="Times New Roman" w:eastAsia="宋体" w:cs="Times New Roman"/>
                <w:lang w:val="de-DE" w:eastAsia="zh-CN"/>
              </w:rPr>
              <w:t>能源管理体系</w:t>
            </w:r>
            <w:r>
              <w:rPr>
                <w:rFonts w:hint="eastAsia" w:ascii="Times New Roman" w:hAnsi="Times New Roman" w:eastAsia="宋体" w:cs="Times New Roman"/>
                <w:lang w:val="en-US" w:eastAsia="zh-CN"/>
              </w:rPr>
              <w:t>-</w:t>
            </w:r>
            <w:r>
              <w:rPr>
                <w:rFonts w:hint="default" w:ascii="Times New Roman" w:hAnsi="Times New Roman" w:eastAsia="宋体" w:cs="Times New Roman"/>
                <w:lang w:val="de-DE" w:eastAsia="zh-CN"/>
              </w:rPr>
              <w:t>纺织企业认证要求</w:t>
            </w:r>
            <w:r>
              <w:rPr>
                <w:rFonts w:hint="default" w:ascii="Times New Roman" w:hAnsi="Times New Roman" w:eastAsia="宋体" w:cs="Times New Roman"/>
                <w:lang w:val="de-DE" w:eastAsia="zh-CN"/>
              </w:rPr>
              <w:fldChar w:fldCharType="end"/>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20" w:type="dxa"/>
            <w:vAlign w:val="center"/>
          </w:tcPr>
          <w:p>
            <w:r>
              <w:rPr>
                <w:rFonts w:hint="eastAsia"/>
              </w:rPr>
              <w:t>审核范围</w:t>
            </w:r>
          </w:p>
        </w:tc>
        <w:tc>
          <w:tcPr>
            <w:tcW w:w="5028" w:type="dxa"/>
            <w:gridSpan w:val="3"/>
            <w:vAlign w:val="center"/>
          </w:tcPr>
          <w:p>
            <w:bookmarkStart w:id="29" w:name="审核范围"/>
            <w:r>
              <w:t>纺织生产所涉及的能源管理活动</w:t>
            </w:r>
            <w:bookmarkEnd w:id="29"/>
          </w:p>
        </w:tc>
        <w:tc>
          <w:tcPr>
            <w:tcW w:w="3215" w:type="dxa"/>
            <w:vAlign w:val="center"/>
          </w:tcPr>
          <w:p>
            <w:pPr>
              <w:rPr>
                <w:rFonts w:hint="eastAsia" w:eastAsia="宋体"/>
                <w:lang w:eastAsia="zh-CN"/>
              </w:rPr>
            </w:pPr>
            <w:r>
              <w:rPr>
                <w:rFonts w:hint="eastAsia"/>
              </w:rPr>
              <w:t>专业代码</w:t>
            </w:r>
            <w:r>
              <w:rPr>
                <w:rFonts w:hint="eastAsia"/>
                <w:lang w:eastAsia="zh-CN"/>
              </w:rPr>
              <w:t>：</w:t>
            </w:r>
            <w:bookmarkStart w:id="30" w:name="专业代码"/>
            <w:r>
              <w:t>2.5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w:t>
            </w:r>
          </w:p>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w:t>
            </w:r>
            <w:r>
              <w:rPr>
                <w:rFonts w:hint="eastAsia" w:ascii="Times New Roman" w:hAnsi="Times New Roman" w:eastAsia="宋体" w:cs="Times New Roman"/>
                <w:lang w:val="en-US" w:eastAsia="zh-CN"/>
              </w:rPr>
              <w:t>6</w:t>
            </w:r>
            <w:r>
              <w:rPr>
                <w:rFonts w:hint="eastAsia" w:ascii="Times New Roman" w:hAnsi="Times New Roman" w:eastAsia="宋体" w:cs="Times New Roman"/>
              </w:rPr>
              <w:t>个月</w:t>
            </w:r>
          </w:p>
          <w:p>
            <w:pPr>
              <w:rPr>
                <w:rFonts w:hint="eastAsia" w:ascii="Times New Roman" w:hAnsi="Times New Roman" w:eastAsia="宋体" w:cs="Times New Roman"/>
              </w:rPr>
            </w:pPr>
            <w:r>
              <w:rPr>
                <w:rFonts w:hint="eastAsia" w:ascii="Times New Roman" w:hAnsi="Times New Roman" w:eastAsia="宋体" w:cs="Times New Roman"/>
              </w:rPr>
              <w:t>能源管理体系运行已超过6个月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福建隆源纺织有限公司</w:t>
            </w:r>
            <w:r>
              <w:rPr>
                <w:rFonts w:hint="eastAsia"/>
                <w:lang w:val="en-US" w:eastAsia="zh-CN"/>
              </w:rPr>
              <w:t>/</w:t>
            </w:r>
            <w:r>
              <w:t>尤溪县经济开发区城西园</w:t>
            </w:r>
          </w:p>
        </w:tc>
        <w:tc>
          <w:tcPr>
            <w:tcW w:w="2267" w:type="dxa"/>
          </w:tcPr>
          <w:p>
            <w:pPr>
              <w:rPr>
                <w:lang w:val="de-DE" w:eastAsia="ja-JP"/>
              </w:rPr>
            </w:pPr>
            <w:r>
              <w:t>尤溪县经济开发区城西园</w:t>
            </w:r>
          </w:p>
        </w:tc>
        <w:tc>
          <w:tcPr>
            <w:tcW w:w="571" w:type="dxa"/>
            <w:vAlign w:val="center"/>
          </w:tcPr>
          <w:p>
            <w:pPr>
              <w:rPr>
                <w:rFonts w:hint="default" w:eastAsia="宋体"/>
                <w:lang w:val="en-US" w:eastAsia="zh-CN"/>
              </w:rPr>
            </w:pPr>
            <w:r>
              <w:rPr>
                <w:rFonts w:hint="eastAsia" w:ascii="宋体" w:hAnsi="宋体" w:cs="宋体"/>
                <w:color w:val="000000"/>
                <w:kern w:val="0"/>
                <w:szCs w:val="24"/>
                <w:lang w:val="en-US" w:eastAsia="zh-CN"/>
              </w:rPr>
              <w:t>530</w:t>
            </w:r>
            <w:bookmarkStart w:id="34" w:name="_GoBack"/>
            <w:bookmarkEnd w:id="34"/>
          </w:p>
        </w:tc>
        <w:tc>
          <w:tcPr>
            <w:tcW w:w="2803" w:type="dxa"/>
            <w:vAlign w:val="center"/>
          </w:tcPr>
          <w:p>
            <w:pPr>
              <w:rPr>
                <w:rFonts w:hint="eastAsia" w:eastAsia="宋体"/>
                <w:lang w:eastAsia="zh-CN"/>
              </w:rPr>
            </w:pPr>
            <w:r>
              <w:t>纺织生产所涉及的能源管理活动</w:t>
            </w:r>
            <w:r>
              <w:rPr>
                <w:rFonts w:hint="eastAsia"/>
                <w:lang w:eastAsia="zh-CN"/>
              </w:rPr>
              <w:t>；</w:t>
            </w:r>
          </w:p>
        </w:tc>
        <w:tc>
          <w:tcPr>
            <w:tcW w:w="669" w:type="dxa"/>
            <w:vAlign w:val="center"/>
          </w:tcPr>
          <w:p>
            <w:pPr>
              <w:rPr>
                <w:rFonts w:hint="default" w:eastAsia="宋体"/>
                <w:lang w:val="en-US" w:eastAsia="zh-CN"/>
              </w:rPr>
            </w:pPr>
            <w:r>
              <w:rPr>
                <w:rFonts w:hint="eastAsia"/>
                <w:lang w:val="en-US" w:eastAsia="zh-CN"/>
              </w:rPr>
              <w:t>GB/T23331-2020</w:t>
            </w: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张建华</w:t>
            </w:r>
          </w:p>
        </w:tc>
        <w:tc>
          <w:tcPr>
            <w:tcW w:w="1089" w:type="dxa"/>
            <w:vAlign w:val="center"/>
          </w:tcPr>
          <w:p>
            <w:r>
              <w:t>组员</w:t>
            </w:r>
          </w:p>
        </w:tc>
        <w:tc>
          <w:tcPr>
            <w:tcW w:w="711" w:type="dxa"/>
            <w:vAlign w:val="center"/>
          </w:tcPr>
          <w:p>
            <w:r>
              <w:t>男</w:t>
            </w:r>
          </w:p>
        </w:tc>
        <w:tc>
          <w:tcPr>
            <w:tcW w:w="3870" w:type="dxa"/>
            <w:vAlign w:val="center"/>
          </w:tcPr>
          <w:p>
            <w:r>
              <w:t>ISC-JSZJ-416</w:t>
            </w:r>
          </w:p>
          <w:p>
            <w:r>
              <w:t>福建宇邦纺织科技有限公司</w:t>
            </w:r>
          </w:p>
        </w:tc>
        <w:tc>
          <w:tcPr>
            <w:tcW w:w="2179" w:type="dxa"/>
            <w:vAlign w:val="center"/>
          </w:tcPr>
          <w:p>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组员</w:t>
            </w:r>
          </w:p>
        </w:tc>
        <w:tc>
          <w:tcPr>
            <w:tcW w:w="711" w:type="dxa"/>
            <w:vAlign w:val="center"/>
          </w:tcPr>
          <w:p>
            <w:r>
              <w:t>女</w:t>
            </w:r>
          </w:p>
        </w:tc>
        <w:tc>
          <w:tcPr>
            <w:tcW w:w="3870" w:type="dxa"/>
            <w:vAlign w:val="center"/>
          </w:tcPr>
          <w:p>
            <w:r>
              <w:t>2021-N1EnMS-1014142</w:t>
            </w:r>
          </w:p>
        </w:tc>
        <w:tc>
          <w:tcPr>
            <w:tcW w:w="2179" w:type="dxa"/>
            <w:vAlign w:val="center"/>
          </w:tcPr>
          <w:p/>
        </w:tc>
      </w:tr>
    </w:tbl>
    <w:p/>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lang w:eastAsia="zh-CN"/>
        </w:rPr>
        <w:t>☑</w:t>
      </w:r>
      <w:r>
        <w:rPr>
          <w:rFonts w:hint="eastAsia"/>
        </w:rPr>
        <w:t>EnMS □FSMS □HACCP的附件）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9"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703580</wp:posOffset>
                  </wp:positionH>
                  <wp:positionV relativeFrom="paragraph">
                    <wp:posOffset>-2607945</wp:posOffset>
                  </wp:positionV>
                  <wp:extent cx="722630" cy="504190"/>
                  <wp:effectExtent l="0" t="0" r="1270" b="3810"/>
                  <wp:wrapTight wrapText="bothSides">
                    <wp:wrapPolygon>
                      <wp:start x="0" y="0"/>
                      <wp:lineTo x="0" y="21219"/>
                      <wp:lineTo x="21258" y="21219"/>
                      <wp:lineTo x="2125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rPr>
                      <w:rFonts w:hint="eastAsia"/>
                    </w:rPr>
                    <w:t xml:space="preserve">活动、产品和服务 </w:t>
                  </w:r>
                  <w:r>
                    <w:rPr>
                      <w:rFonts w:hint="eastAsia"/>
                      <w:lang w:eastAsia="zh-CN"/>
                    </w:rPr>
                    <w:t>☑</w:t>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 xml:space="preserve">人力资源□营销和市场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□满足限额要求 </w:t>
            </w:r>
            <w:r>
              <w:rPr>
                <w:rFonts w:hint="eastAsia"/>
                <w:lang w:eastAsia="zh-CN"/>
              </w:rPr>
              <w:t>□</w:t>
            </w:r>
            <w:r>
              <w:rPr>
                <w:rFonts w:hint="eastAsia"/>
              </w:rPr>
              <w:t xml:space="preserve">主要用能设备管理  </w:t>
            </w:r>
            <w:r>
              <w:rPr>
                <w:rFonts w:hint="eastAsia"/>
                <w:lang w:eastAsia="zh-CN"/>
              </w:rPr>
              <w:t>☑</w:t>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 □能效监测 □设备维修 □人员培训 □其他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keepNext w:val="0"/>
              <w:keepLines w:val="0"/>
              <w:pageBreakBefore w:val="0"/>
              <w:kinsoku/>
              <w:wordWrap/>
              <w:overflowPunct/>
              <w:topLinePunct w:val="0"/>
              <w:bidi w:val="0"/>
              <w:snapToGrid/>
              <w:spacing w:line="360" w:lineRule="auto"/>
              <w:ind w:firstLine="420" w:firstLineChars="200"/>
              <w:textAlignment w:val="auto"/>
              <w:rPr>
                <w:u w:val="single"/>
              </w:rPr>
            </w:pPr>
            <w:r>
              <w:rPr>
                <w:rFonts w:hint="eastAsia"/>
              </w:rPr>
              <w:t>最高管理者制定了文件化的管理体系方针：</w:t>
            </w:r>
            <w:r>
              <w:rPr>
                <w:rFonts w:hint="eastAsia"/>
                <w:u w:val="single"/>
              </w:rPr>
              <w:t xml:space="preserve"> </w:t>
            </w:r>
            <w:r>
              <w:rPr>
                <w:rFonts w:hint="eastAsia" w:ascii="Times New Roman" w:hAnsi="Times New Roman" w:cs="Times New Roman"/>
                <w:u w:val="single"/>
              </w:rPr>
              <w:t>遵守法规 清洁生产</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节能降耗</w:t>
            </w:r>
            <w:r>
              <w:rPr>
                <w:rFonts w:hint="eastAsia" w:ascii="Times New Roman" w:hAnsi="Times New Roman" w:cs="Times New Roman"/>
                <w:u w:val="single"/>
              </w:rPr>
              <w:t xml:space="preserve"> 创新改造</w:t>
            </w:r>
            <w:r>
              <w:rPr>
                <w:rFonts w:hint="eastAsia" w:ascii="Times New Roman" w:hAnsi="Times New Roman" w:cs="Times New Roman"/>
                <w:u w:val="single"/>
                <w:lang w:eastAsia="zh-CN"/>
              </w:rPr>
              <w:t>；</w:t>
            </w:r>
            <w:r>
              <w:rPr>
                <w:rFonts w:hint="eastAsia" w:ascii="Times New Roman" w:hAnsi="Times New Roman" w:cs="Times New Roman"/>
                <w:u w:val="single"/>
                <w:lang w:val="en-US" w:eastAsia="zh-CN"/>
              </w:rPr>
              <w:t>能耗限额 持续改进。</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EnMS的主管部门是——□能源管理团队 □</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停电的风险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制定应急预案</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tcPr>
                <w:p>
                  <w:pPr>
                    <w:shd w:val="clear" w:color="auto" w:fill="EBF1DE" w:themeFill="accent3" w:themeFillTint="32"/>
                    <w:rPr>
                      <w:rFonts w:hint="default" w:eastAsia="宋体"/>
                      <w:lang w:val="en-US" w:eastAsia="zh-CN"/>
                    </w:rPr>
                  </w:pPr>
                </w:p>
              </w:tc>
              <w:tc>
                <w:tcPr>
                  <w:tcW w:w="1717" w:type="dxa"/>
                </w:tcPr>
                <w:p>
                  <w:pPr>
                    <w:shd w:val="clear" w:color="auto" w:fill="EBF1DE" w:themeFill="accent3" w:themeFillTint="3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□燃料油  □燃料气 </w:t>
            </w:r>
            <w:r>
              <w:rPr>
                <w:rFonts w:hint="eastAsia"/>
                <w:lang w:eastAsia="zh-CN"/>
              </w:rPr>
              <w:t>☑</w:t>
            </w:r>
            <w:r>
              <w:rPr>
                <w:rFonts w:hint="eastAsia"/>
              </w:rPr>
              <w:t>电力  □氮气 □风  □新鲜水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lang w:eastAsia="zh-CN"/>
              </w:rPr>
              <w:t>☑</w:t>
            </w:r>
            <w:r>
              <w:rPr>
                <w:rFonts w:hint="eastAsia"/>
              </w:rPr>
              <w:t xml:space="preserve">单位产品综合能耗 </w:t>
            </w:r>
            <w:r>
              <w:rPr>
                <w:rFonts w:hint="eastAsia"/>
                <w:lang w:eastAsia="zh-CN"/>
              </w:rPr>
              <w:t>□</w:t>
            </w:r>
            <w:r>
              <w:rPr>
                <w:rFonts w:hint="eastAsia"/>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lang w:eastAsia="zh-CN"/>
              </w:rPr>
              <w:t>□</w:t>
            </w:r>
            <w:r>
              <w:rPr>
                <w:rFonts w:hint="eastAsia" w:ascii="Times New Roman" w:hAnsi="Times New Roman" w:cs="Times New Roman"/>
              </w:rPr>
              <w:t>节能评估报告编号/日期</w:t>
            </w:r>
            <w:r>
              <w:rPr>
                <w:rFonts w:hint="eastAsia"/>
                <w:color w:val="FF0000"/>
              </w:rPr>
              <w:t xml:space="preserve">：  </w:t>
            </w:r>
            <w:r>
              <w:rPr>
                <w:rFonts w:hint="eastAsia"/>
              </w:rPr>
              <w:t xml:space="preserve">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t xml:space="preserve">□限额标准  </w:t>
            </w:r>
            <w:r>
              <w:rPr>
                <w:rFonts w:hint="eastAsia"/>
                <w:lang w:eastAsia="zh-CN"/>
              </w:rPr>
              <w:t>☑</w:t>
            </w:r>
            <w:r>
              <w:rPr>
                <w:rFonts w:hint="eastAsia"/>
              </w:rPr>
              <w:t xml:space="preserve">能源计量管理  □使用节能设备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993"/>
              <w:gridCol w:w="1144"/>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节能目标</w:t>
                  </w:r>
                </w:p>
              </w:tc>
              <w:tc>
                <w:tcPr>
                  <w:tcW w:w="2993"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控制措施</w:t>
                  </w:r>
                </w:p>
              </w:tc>
              <w:tc>
                <w:tcPr>
                  <w:tcW w:w="1144"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责任部门</w:t>
                  </w:r>
                </w:p>
              </w:tc>
              <w:tc>
                <w:tcPr>
                  <w:tcW w:w="2123" w:type="dxa"/>
                  <w:shd w:val="clear" w:color="auto" w:fill="auto"/>
                </w:tcPr>
                <w:p>
                  <w:pPr>
                    <w:shd w:val="clear" w:color="auto" w:fill="EBF1DE" w:themeFill="accent3" w:themeFillTint="32"/>
                    <w:rPr>
                      <w:rFonts w:hint="eastAsia" w:ascii="Times New Roman" w:hAnsi="Times New Roman" w:cs="Times New Roman"/>
                      <w:lang w:val="en-US" w:eastAsia="zh-CN"/>
                    </w:rPr>
                  </w:pPr>
                  <w:r>
                    <w:rPr>
                      <w:rFonts w:hint="eastAsia" w:ascii="Times New Roman" w:hAnsi="Times New Roman" w:cs="Times New Roman"/>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jc w:val="left"/>
                    <w:rPr>
                      <w:rFonts w:hint="eastAsia" w:ascii="Times New Roman" w:hAnsi="Times New Roman" w:cs="Times New Roman"/>
                      <w:lang w:val="en-US" w:eastAsia="zh-CN"/>
                    </w:rPr>
                  </w:pPr>
                  <w:r>
                    <w:rPr>
                      <w:rFonts w:hint="eastAsia" w:ascii="Times New Roman" w:hAnsi="Times New Roman" w:cs="Times New Roman"/>
                      <w:lang w:val="en-US" w:eastAsia="zh-CN"/>
                    </w:rPr>
                    <w:t>单位产品能耗≦463.93kgce/t</w:t>
                  </w:r>
                </w:p>
              </w:tc>
              <w:tc>
                <w:tcPr>
                  <w:tcW w:w="2993" w:type="dxa"/>
                  <w:shd w:val="clear" w:color="auto" w:fill="auto"/>
                  <w:vAlign w:val="center"/>
                </w:tcPr>
                <w:p>
                  <w:pPr>
                    <w:shd w:val="clear" w:color="auto" w:fill="EBF1DE" w:themeFill="accent3" w:themeFillTint="32"/>
                    <w:rPr>
                      <w:rFonts w:hint="eastAsia" w:ascii="Times New Roman" w:hAnsi="Times New Roman" w:cs="Times New Roman"/>
                      <w:lang w:val="en-GB" w:eastAsia="zh-CN"/>
                    </w:rPr>
                  </w:pPr>
                  <w:r>
                    <w:rPr>
                      <w:rFonts w:hint="eastAsia" w:ascii="Times New Roman" w:hAnsi="Times New Roman" w:cs="Times New Roman"/>
                      <w:lang w:val="en-US" w:eastAsia="zh-CN"/>
                    </w:rPr>
                    <w:t>加强生产管理，保持生产稳定</w:t>
                  </w:r>
                </w:p>
              </w:tc>
              <w:tc>
                <w:tcPr>
                  <w:tcW w:w="1144" w:type="dxa"/>
                  <w:shd w:val="clear" w:color="auto" w:fill="auto"/>
                  <w:vAlign w:val="center"/>
                </w:tcPr>
                <w:p>
                  <w:pPr>
                    <w:shd w:val="clear" w:color="auto" w:fill="EBF1DE" w:themeFill="accent3" w:themeFillTint="32"/>
                    <w:rPr>
                      <w:rFonts w:hint="eastAsia" w:ascii="Times New Roman" w:hAnsi="Times New Roman" w:cs="Times New Roman"/>
                      <w:lang w:val="en-GB" w:eastAsia="zh-CN"/>
                    </w:rPr>
                  </w:pPr>
                  <w:r>
                    <w:rPr>
                      <w:rFonts w:hint="eastAsia" w:ascii="Times New Roman" w:hAnsi="Times New Roman" w:cs="Times New Roman"/>
                      <w:lang w:val="en-US" w:eastAsia="zh-CN"/>
                    </w:rPr>
                    <w:t>生产部</w:t>
                  </w:r>
                </w:p>
              </w:tc>
              <w:tc>
                <w:tcPr>
                  <w:tcW w:w="2123" w:type="dxa"/>
                  <w:shd w:val="clear" w:color="auto" w:fill="auto"/>
                  <w:vAlign w:val="center"/>
                </w:tcPr>
                <w:p>
                  <w:pPr>
                    <w:shd w:val="clear" w:color="auto" w:fill="EBF1DE" w:themeFill="accent3" w:themeFillTint="32"/>
                    <w:jc w:val="left"/>
                    <w:rPr>
                      <w:rFonts w:hint="eastAsia" w:ascii="Times New Roman" w:hAnsi="Times New Roman" w:cs="Times New Roman"/>
                      <w:lang w:val="en-US" w:eastAsia="zh-CN"/>
                    </w:rPr>
                  </w:pPr>
                  <w:r>
                    <w:rPr>
                      <w:rFonts w:hint="eastAsia" w:ascii="Times New Roman" w:hAnsi="Times New Roman" w:cs="Times New Roman"/>
                      <w:lang w:val="en-US" w:eastAsia="zh-CN"/>
                    </w:rPr>
                    <w:t>单位产品能耗476.81kgce/t</w:t>
                  </w:r>
                </w:p>
                <w:p>
                  <w:pPr>
                    <w:shd w:val="clear" w:color="auto" w:fill="EBF1DE" w:themeFill="accent3" w:themeFillTint="32"/>
                    <w:rPr>
                      <w:rFonts w:hint="default" w:ascii="Times New Roman" w:hAnsi="Times New Roman" w:cs="Times New Roman"/>
                      <w:lang w:val="en-US" w:eastAsia="zh-CN"/>
                    </w:rPr>
                  </w:pPr>
                  <w:r>
                    <w:rPr>
                      <w:rFonts w:hint="eastAsia" w:ascii="Times New Roman" w:hAnsi="Times New Roman" w:cs="Times New Roman"/>
                      <w:lang w:val="en-US" w:eastAsia="zh-CN"/>
                    </w:rPr>
                    <w:t>没有完成目标</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9万</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纺纱机、</w:t>
            </w:r>
            <w:r>
              <w:rPr>
                <w:rFonts w:hint="eastAsia" w:ascii="Times New Roman" w:hAnsi="Times New Roman" w:cs="Times New Roman"/>
                <w:u w:val="single"/>
                <w:lang w:val="en-US" w:eastAsia="zh-CN"/>
              </w:rPr>
              <w:t xml:space="preserve">细纱吸棉风机、 </w:t>
            </w:r>
            <w:r>
              <w:rPr>
                <w:rFonts w:hint="eastAsia"/>
                <w:u w:val="single"/>
              </w:rPr>
              <w:t xml:space="preserve"> （列举2~4种）</w:t>
            </w:r>
          </w:p>
          <w:p>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lang w:val="en-US" w:eastAsia="zh-CN"/>
              </w:rPr>
              <w:t>空压机、变压器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r>
              <w:rPr>
                <w:rFonts w:hint="eastAsia" w:ascii="Times New Roman" w:hAnsi="Times New Roman" w:cs="Times New Roman"/>
                <w:u w:val="single"/>
                <w:lang w:val="en-US" w:eastAsia="zh-CN"/>
              </w:rPr>
              <w:t>电表有当地供电部门负责检定，水表有当地供水公司负责检定。</w:t>
            </w:r>
            <w:r>
              <w:rPr>
                <w:rFonts w:hint="eastAsia" w:ascii="Times New Roman" w:hAnsi="Times New Roman" w:cs="Times New Roman"/>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组织为满足节能管理的要求，已对用能过程建立了相应的运行准则；按照运行准则实施过程控制。策划文件包括：</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操作规程 </w:t>
            </w:r>
            <w:r>
              <w:rPr>
                <w:rFonts w:hint="eastAsia" w:ascii="Times New Roman" w:hAnsi="Times New Roman" w:cs="Times New Roman"/>
                <w:lang w:eastAsia="zh-CN"/>
              </w:rPr>
              <w:t>□</w:t>
            </w:r>
            <w:r>
              <w:rPr>
                <w:rFonts w:hint="eastAsia" w:ascii="Times New Roman" w:hAnsi="Times New Roman" w:cs="Times New Roman"/>
              </w:rPr>
              <w:t xml:space="preserve">作业文件  </w:t>
            </w:r>
            <w:r>
              <w:rPr>
                <w:rFonts w:hint="eastAsia" w:ascii="Times New Roman" w:hAnsi="Times New Roman" w:cs="Times New Roman"/>
                <w:lang w:eastAsia="zh-CN"/>
              </w:rPr>
              <w:t>□</w:t>
            </w:r>
            <w:r>
              <w:rPr>
                <w:rFonts w:hint="eastAsia" w:ascii="Times New Roman" w:hAnsi="Times New Roman" w:cs="Times New Roman"/>
              </w:rPr>
              <w:t xml:space="preserve">工艺卡片   </w:t>
            </w:r>
            <w:r>
              <w:rPr>
                <w:rFonts w:hint="eastAsia" w:ascii="Times New Roman" w:hAnsi="Times New Roman" w:cs="Times New Roman"/>
                <w:lang w:eastAsia="zh-CN"/>
              </w:rPr>
              <w:t>□</w:t>
            </w:r>
            <w:r>
              <w:rPr>
                <w:rFonts w:hint="eastAsia" w:ascii="Times New Roman" w:hAnsi="Times New Roman" w:cs="Times New Roman"/>
              </w:rPr>
              <w:t xml:space="preserve">接收准则  </w:t>
            </w:r>
            <w:r>
              <w:rPr>
                <w:rFonts w:hint="eastAsia" w:ascii="Times New Roman" w:hAnsi="Times New Roman" w:cs="Times New Roman"/>
                <w:lang w:eastAsia="zh-CN"/>
              </w:rPr>
              <w:t>☑</w:t>
            </w:r>
            <w:r>
              <w:rPr>
                <w:rFonts w:hint="eastAsia" w:ascii="Times New Roman" w:hAnsi="Times New Roman" w:cs="Times New Roman"/>
              </w:rPr>
              <w:t xml:space="preserve">工艺流程图  </w:t>
            </w:r>
            <w:r>
              <w:rPr>
                <w:rFonts w:hint="eastAsia" w:ascii="Times New Roman" w:hAnsi="Times New Roman" w:cs="Times New Roman"/>
                <w:lang w:eastAsia="zh-CN"/>
              </w:rPr>
              <w:t>□</w:t>
            </w:r>
            <w:r>
              <w:rPr>
                <w:rFonts w:hint="eastAsia"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能源采购 </w:t>
            </w:r>
            <w:r>
              <w:rPr>
                <w:rFonts w:hint="eastAsia" w:ascii="Wingdings" w:hAnsi="Wingdings"/>
                <w:lang w:eastAsia="zh-CN"/>
              </w:rPr>
              <w:t>☑</w:t>
            </w:r>
            <w:r>
              <w:rPr>
                <w:rFonts w:hint="eastAsia"/>
              </w:rPr>
              <w:t xml:space="preserve">主要用能设备采购  </w:t>
            </w:r>
            <w:r>
              <w:rPr>
                <w:rFonts w:hint="eastAsia" w:ascii="Wingdings" w:hAnsi="Wingdings"/>
                <w:lang w:eastAsia="zh-CN"/>
              </w:rPr>
              <w:t>☑</w:t>
            </w:r>
            <w:r>
              <w:rPr>
                <w:rFonts w:hint="eastAsia"/>
              </w:rPr>
              <w:t xml:space="preserve">淘汰落后设备更新 </w:t>
            </w:r>
            <w:r>
              <w:rPr>
                <w:rFonts w:hint="eastAsia" w:ascii="Wingdings" w:hAnsi="Wingdings"/>
                <w:lang w:eastAsia="zh-CN"/>
              </w:rPr>
              <w:t>☑</w:t>
            </w:r>
            <w:r>
              <w:rPr>
                <w:rFonts w:hint="eastAsia"/>
              </w:rPr>
              <w:t xml:space="preserve">能源计量器具采购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控制设备运转，减少空转，适用时对转动设备增加变频设施</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pStyle w:val="2"/>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企业自测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u w:val="single"/>
                <w:lang w:val="en-US" w:eastAsia="zh-CN"/>
              </w:rPr>
              <w:t>未开展</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日实施了能源管理体系内部审核，对能源管理体系的符合性和有效性进行了审核。内审发现的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9928"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501"/>
        <w:gridCol w:w="779"/>
        <w:gridCol w:w="780"/>
        <w:gridCol w:w="779"/>
        <w:gridCol w:w="780"/>
        <w:gridCol w:w="780"/>
        <w:gridCol w:w="779"/>
        <w:gridCol w:w="780"/>
        <w:gridCol w:w="779"/>
        <w:gridCol w:w="588"/>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588"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03"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588"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03"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588"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03"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588"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03"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rPr>
              <w:t>10</w:t>
            </w: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lang w:val="en-US" w:eastAsia="ja-JP"/>
              </w:rPr>
            </w:pPr>
            <w:r>
              <w:rPr>
                <w:rFonts w:hint="eastAsia"/>
              </w:rPr>
              <w:t>10</w:t>
            </w: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501"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588" w:type="dxa"/>
            <w:shd w:val="clear" w:color="auto" w:fill="EBF1DE" w:themeFill="accent3" w:themeFillTint="32"/>
            <w:vAlign w:val="center"/>
          </w:tcPr>
          <w:p>
            <w:pPr>
              <w:shd w:val="clear" w:color="auto" w:fill="EBF1DE" w:themeFill="accent3" w:themeFillTint="32"/>
              <w:rPr>
                <w:lang w:eastAsia="ja-JP"/>
              </w:rPr>
            </w:pPr>
          </w:p>
        </w:tc>
        <w:tc>
          <w:tcPr>
            <w:tcW w:w="603"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11.6pt;height:20.2pt;width:10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D56150"/>
    <w:rsid w:val="205723C0"/>
    <w:rsid w:val="3E484A29"/>
    <w:rsid w:val="51ED0D92"/>
    <w:rsid w:val="63AD1ACD"/>
    <w:rsid w:val="730F0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1</TotalTime>
  <ScaleCrop>false</ScaleCrop>
  <LinksUpToDate>false</LinksUpToDate>
  <CharactersWithSpaces>31688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2021-12-06T08:33:43Z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