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27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过程与活动、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涉及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条款</w:t>
            </w:r>
          </w:p>
        </w:tc>
        <w:tc>
          <w:tcPr>
            <w:tcW w:w="1072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受审核部门：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    主管领导：    陪同人员：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吴树天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1072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审核员：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周涛、张建华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 xml:space="preserve">   审核时间：2021-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20</w:t>
            </w:r>
          </w:p>
        </w:tc>
        <w:tc>
          <w:tcPr>
            <w:tcW w:w="862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1072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审核条款：5.3 组织的岗位、职责和权限、6.2 目标、能源指及其实现的策划、8.1 运行的策划和控制、8.3采购、10.1不符合与纠正措施。</w:t>
            </w:r>
          </w:p>
        </w:tc>
        <w:tc>
          <w:tcPr>
            <w:tcW w:w="862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lef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1.组织的岗位、职责和权限，</w:t>
            </w:r>
          </w:p>
          <w:p>
            <w:pPr>
              <w:pStyle w:val="2"/>
              <w:ind w:left="0" w:leftChars="0"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2.目标、能源指及其实现的策划</w:t>
            </w:r>
          </w:p>
        </w:tc>
        <w:tc>
          <w:tcPr>
            <w:tcW w:w="96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6.2</w:t>
            </w:r>
          </w:p>
        </w:tc>
        <w:tc>
          <w:tcPr>
            <w:tcW w:w="1072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 xml:space="preserve"> 1、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部：</w:t>
            </w:r>
            <w:bookmarkStart w:id="0" w:name="_GoBack"/>
            <w:bookmarkEnd w:id="0"/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提供</w:t>
            </w:r>
            <w:r>
              <w:rPr>
                <w:rFonts w:hint="eastAsia"/>
                <w:color w:val="000000" w:themeColor="text1"/>
                <w:lang w:val="en-US" w:eastAsia="zh-CN"/>
              </w:rPr>
              <w:t>《岗位及部门职责》，共4人，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为实现公司年度经营目标，在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的领导下，全面负责公司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物品的采购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等工作，确保公司战略目标的实现。职责概述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产品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计划制定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事务管理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、供应商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关系管理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市场开发管理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产品价格管理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、主材、辅材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部门建设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2、提供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能源管理目标是：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采购工作质量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所有采购数据目标值≥99%；</w:t>
            </w:r>
          </w:p>
          <w:p>
            <w:pPr>
              <w:ind w:firstLine="420" w:firstLineChars="2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查阅相关记录，全部完成。</w:t>
            </w:r>
          </w:p>
        </w:tc>
        <w:tc>
          <w:tcPr>
            <w:tcW w:w="862" w:type="dxa"/>
          </w:tcPr>
          <w:p/>
          <w:p>
            <w:pPr>
              <w:pStyle w:val="2"/>
            </w:pPr>
          </w:p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3.</w:t>
            </w:r>
            <w:r>
              <w:rPr>
                <w:rFonts w:hint="eastAsia"/>
                <w:color w:val="000000" w:themeColor="text1"/>
              </w:rPr>
              <w:t>运行的策划和控制</w:t>
            </w:r>
            <w:r>
              <w:rPr>
                <w:rFonts w:hint="eastAsia"/>
                <w:color w:val="000000" w:themeColor="text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采购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8.1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/8.3</w:t>
            </w:r>
          </w:p>
        </w:tc>
        <w:tc>
          <w:tcPr>
            <w:tcW w:w="10727" w:type="dxa"/>
          </w:tcPr>
          <w:p>
            <w:pPr>
              <w:ind w:firstLine="420" w:firstLineChars="2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1、提供</w:t>
            </w:r>
            <w:r>
              <w:rPr>
                <w:rFonts w:hint="eastAsia"/>
                <w:color w:val="000000" w:themeColor="text1"/>
              </w:rPr>
              <w:t>文件化信息</w:t>
            </w:r>
            <w:r>
              <w:rPr>
                <w:rFonts w:hint="eastAsia"/>
                <w:color w:val="000000" w:themeColor="text1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</w:rPr>
              <w:t>《能源管理手册》、</w:t>
            </w:r>
            <w:r>
              <w:rPr>
                <w:rFonts w:hint="eastAsia"/>
                <w:color w:val="000000" w:themeColor="text1"/>
                <w:lang w:eastAsia="zh-CN"/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</w:rPr>
              <w:t>程序文件清单</w:t>
            </w:r>
            <w:r>
              <w:rPr>
                <w:rFonts w:hint="eastAsia"/>
                <w:color w:val="000000" w:themeColor="text1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</w:rPr>
              <w:t>主要有《SY/En-CX-12用能设备的使用、维护和处置程序》《SY/En-CX-13监测和计量装置的购买、使用、维护和处置程序》《SY/En-CX-18</w:t>
            </w:r>
            <w:r>
              <w:rPr>
                <w:rFonts w:hint="eastAsia"/>
                <w:color w:val="000000" w:themeColor="text1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lang w:val="en-US" w:eastAsia="zh-CN"/>
              </w:rPr>
              <w:t>监视和测量控制程序》《SY/En-CX-22不符合、纠正、改进措施程序》《SY/En-CX-15</w:t>
            </w:r>
            <w:r>
              <w:rPr>
                <w:rFonts w:hint="eastAsia"/>
                <w:color w:val="000000" w:themeColor="text1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lang w:val="en-US" w:eastAsia="zh-CN"/>
              </w:rPr>
              <w:t>能源服务、产品、设备和能源采购控制程序》等，符合管理实际，有发布、实施。有编审批。确保了其适宜性和充分性。</w:t>
            </w:r>
          </w:p>
          <w:p>
            <w:pPr>
              <w:ind w:firstLine="420" w:firstLineChars="2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2、关于能源采购：提供组织的《能源管理手册》其中：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2-1“8.3 采购”，公司制定并实施《能源采购控制程序》，建立并实施在计划或预期运行寿命内评估能源性能的标准，在采购能源时使用预期对组织能源性能有重大影响的产品、设备和服务。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3、在采购使用对SEUs有或可能有影响的产品、设备和服务时，组织应通知供应商，能源性能是采购的评估标准之一。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在适用的情况下，组织应定义和沟通以下方面的规范: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a)确保采购设备和服务的能源性能;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b)购买能源。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4、抽查2021年合格供方名录：</w:t>
            </w: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4-1提供《福建顺源纺织有限公司合格供应商名录》（辅材）(二零二一年），共70家，按照：序号、供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方、地址、供应产品名称、联系人、电话进行登记。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其中1）合格供应商名录（辅材）共70家，全部按照：“序号、供方、地址、供应产品名称、联系人、电话”等进行登记。</w:t>
            </w:r>
          </w:p>
          <w:p>
            <w:pPr>
              <w:pStyle w:val="2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提供1）《合格供应商的基本资料表》、提供2）《供应商承诺书》、提供3) 《供应商评审表》，提供4）《营业执照》、提供5）《供应商评审报告》 提供6）《合格供方评价表》。</w:t>
            </w: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棉的供应商有：湖南金华嘉棉业有限公司、福建思宇纺织原料有限公司；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涤的供应商有：福建宴鸿科技有限公司、福建省金轮高纤股份有限公司；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粘胶的供应商：塞得利（中国）纤维有限公司、唐山三友远达纤维有限公司。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5、能源采购归情况：主要能源电力有本公司安装的变电所供应。水有当地供水公司供应。</w:t>
            </w:r>
          </w:p>
        </w:tc>
        <w:tc>
          <w:tcPr>
            <w:tcW w:w="862" w:type="dxa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.不符合与纠正措施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10.1</w:t>
            </w:r>
          </w:p>
        </w:tc>
        <w:tc>
          <w:tcPr>
            <w:tcW w:w="10727" w:type="dxa"/>
          </w:tcPr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提供《SY/En-CX-18</w:t>
            </w:r>
            <w:r>
              <w:rPr>
                <w:rFonts w:hint="eastAsia"/>
                <w:color w:val="000000" w:themeColor="text1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lang w:val="en-US" w:eastAsia="zh-CN"/>
              </w:rPr>
              <w:t>监视和测量控制程序》《SY/En-CX-22不符合、纠正、改进措施程序》公司建立、实施并保持《监视、测量与分析控制程序》，以实现对能源管理绩效的监视、测量与评价，本单位负责本部门的相关目标、指标、运行控制等的监控和测量。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监视和测量内容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公司制定并实施《监视、测量及分析控制程序》，确定能源性能和能源管理体系: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a)需要监测和测量的内容，至少包括以下关键特征: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1)行动计划在实现目标和能源目标方面的有效性;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2〕EnPI(值);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3) SEUs的运行;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4)实际能耗与预期能耗之比;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b)监测、测量、分析和评估的方法，以确保有效的结果;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c)进行监视和测量时;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d)在对监测和测量结果进行分析和评价时。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公司规定了为了及时纠正在能源管理体系运行中发现的不符合，采取有效的纠正措施与预防措施，减少对生产经营活动的影响，避免不符合的再次发生。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目前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</w:t>
            </w:r>
            <w:r>
              <w:rPr>
                <w:rFonts w:hint="eastAsia"/>
                <w:color w:val="000000" w:themeColor="text1"/>
                <w:lang w:val="en-US" w:eastAsia="zh-CN"/>
              </w:rPr>
              <w:t>提供2020年及2021年1至10月的对物资采购的相关记录，没有发生违规现象。</w:t>
            </w:r>
          </w:p>
        </w:tc>
        <w:tc>
          <w:tcPr>
            <w:tcW w:w="862" w:type="dxa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y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75285" cy="359410"/>
          <wp:effectExtent l="0" t="0" r="0" b="6350"/>
          <wp:wrapTight wrapText="bothSides">
            <wp:wrapPolygon>
              <wp:start x="5702" y="0"/>
              <wp:lineTo x="0" y="2748"/>
              <wp:lineTo x="0" y="16486"/>
              <wp:lineTo x="6579" y="21066"/>
              <wp:lineTo x="9210" y="21066"/>
              <wp:lineTo x="14473" y="21066"/>
              <wp:lineTo x="14912" y="21066"/>
              <wp:lineTo x="20613" y="14654"/>
              <wp:lineTo x="20613" y="5953"/>
              <wp:lineTo x="17105" y="1374"/>
              <wp:lineTo x="14035" y="0"/>
              <wp:lineTo x="570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95D1D"/>
    <w:multiLevelType w:val="multilevel"/>
    <w:tmpl w:val="1E195D1D"/>
    <w:lvl w:ilvl="0" w:tentative="0">
      <w:start w:val="1"/>
      <w:numFmt w:val="decimal"/>
      <w:pStyle w:val="18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454" w:hanging="454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284"/>
        </w:tabs>
        <w:ind w:left="284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3DC30E0"/>
    <w:rsid w:val="046567E2"/>
    <w:rsid w:val="05DF3DCC"/>
    <w:rsid w:val="071321EB"/>
    <w:rsid w:val="07254FA6"/>
    <w:rsid w:val="09AA2A96"/>
    <w:rsid w:val="108219C2"/>
    <w:rsid w:val="10A01CC5"/>
    <w:rsid w:val="12EC4A9A"/>
    <w:rsid w:val="139C646D"/>
    <w:rsid w:val="16B93B5D"/>
    <w:rsid w:val="19097F08"/>
    <w:rsid w:val="1AE9367D"/>
    <w:rsid w:val="1B007415"/>
    <w:rsid w:val="227E0F92"/>
    <w:rsid w:val="23BB39C7"/>
    <w:rsid w:val="2672244F"/>
    <w:rsid w:val="26A67848"/>
    <w:rsid w:val="27502FE7"/>
    <w:rsid w:val="27725332"/>
    <w:rsid w:val="27CE53B5"/>
    <w:rsid w:val="29994E0B"/>
    <w:rsid w:val="2A546CDA"/>
    <w:rsid w:val="2A7F6EC5"/>
    <w:rsid w:val="2B283970"/>
    <w:rsid w:val="2E4009E7"/>
    <w:rsid w:val="2EE7453E"/>
    <w:rsid w:val="355A4358"/>
    <w:rsid w:val="35801D95"/>
    <w:rsid w:val="365374F8"/>
    <w:rsid w:val="38052C74"/>
    <w:rsid w:val="39106516"/>
    <w:rsid w:val="39E7305B"/>
    <w:rsid w:val="3D245307"/>
    <w:rsid w:val="3D6D656F"/>
    <w:rsid w:val="3E8C39F8"/>
    <w:rsid w:val="41E13670"/>
    <w:rsid w:val="453F17C9"/>
    <w:rsid w:val="4D4904AA"/>
    <w:rsid w:val="4D5B4C51"/>
    <w:rsid w:val="4DB6221E"/>
    <w:rsid w:val="571421BF"/>
    <w:rsid w:val="577D010C"/>
    <w:rsid w:val="59A63954"/>
    <w:rsid w:val="5AD0717F"/>
    <w:rsid w:val="5B553FC5"/>
    <w:rsid w:val="5BFD0207"/>
    <w:rsid w:val="5D147476"/>
    <w:rsid w:val="5EA12B9A"/>
    <w:rsid w:val="5F0D1C5A"/>
    <w:rsid w:val="621F7D19"/>
    <w:rsid w:val="632436D4"/>
    <w:rsid w:val="66856E51"/>
    <w:rsid w:val="6A8123EB"/>
    <w:rsid w:val="6B546322"/>
    <w:rsid w:val="6CF03F73"/>
    <w:rsid w:val="715616AC"/>
    <w:rsid w:val="73B542BD"/>
    <w:rsid w:val="7542597D"/>
    <w:rsid w:val="765038CB"/>
    <w:rsid w:val="7B371D97"/>
    <w:rsid w:val="7BEA28B4"/>
    <w:rsid w:val="7D5E684F"/>
    <w:rsid w:val="7D6034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6">
    <w:name w:val="表头"/>
    <w:basedOn w:val="1"/>
    <w:next w:val="1"/>
    <w:qFormat/>
    <w:uiPriority w:val="0"/>
    <w:pPr>
      <w:spacing w:beforeLines="50" w:afterLines="20"/>
      <w:jc w:val="center"/>
      <w:textAlignment w:val="center"/>
    </w:pPr>
    <w:rPr>
      <w:rFonts w:ascii="宋体" w:hAnsi="宋体" w:cs="宋体"/>
      <w:sz w:val="24"/>
      <w:szCs w:val="24"/>
    </w:rPr>
  </w:style>
  <w:style w:type="character" w:customStyle="1" w:styleId="17">
    <w:name w:val="normaltextrun"/>
    <w:qFormat/>
    <w:uiPriority w:val="0"/>
  </w:style>
  <w:style w:type="paragraph" w:customStyle="1" w:styleId="18">
    <w:name w:val="样式1"/>
    <w:basedOn w:val="6"/>
    <w:qFormat/>
    <w:uiPriority w:val="0"/>
    <w:pPr>
      <w:numPr>
        <w:ilvl w:val="0"/>
        <w:numId w:val="1"/>
      </w:numPr>
      <w:adjustRightInd w:val="0"/>
      <w:snapToGrid w:val="0"/>
      <w:spacing w:beforeLines="50" w:afterLines="50"/>
      <w:jc w:val="both"/>
    </w:pPr>
    <w:rPr>
      <w:rFonts w:ascii="宋体" w:hAnsi="宋体" w:cs="Times New Roman"/>
      <w:spacing w:val="-1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11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2021-11-20T08:30:49Z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0E52032FA5874BBAAC3B27EABB2741D3</vt:lpwstr>
  </property>
</Properties>
</file>