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8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489" w:type="dxa"/>
            <w:vAlign w:val="center"/>
          </w:tcPr>
          <w:p>
            <w:pP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受审核</w:t>
            </w:r>
            <w:r>
              <w:rPr>
                <w:rFonts w:hint="eastAsia" w:ascii="宋体" w:hAnsi="宋体" w:eastAsia="宋体" w:cs="宋体"/>
                <w:color w:val="auto"/>
                <w:sz w:val="24"/>
                <w:szCs w:val="24"/>
                <w:lang w:val="en-US" w:eastAsia="zh-CN"/>
              </w:rPr>
              <w:t>部门：</w:t>
            </w:r>
            <w:r>
              <w:rPr>
                <w:rFonts w:hint="eastAsia" w:ascii="宋体" w:hAnsi="宋体" w:cs="宋体"/>
                <w:color w:val="auto"/>
                <w:sz w:val="24"/>
                <w:szCs w:val="24"/>
                <w:lang w:val="en-US" w:eastAsia="zh-CN"/>
              </w:rPr>
              <w:t>行政部</w:t>
            </w:r>
            <w:r>
              <w:rPr>
                <w:rFonts w:hint="eastAsia"/>
                <w:color w:val="auto"/>
                <w:lang w:val="en-US" w:eastAsia="zh-CN"/>
              </w:rPr>
              <w:t>（含财务）</w:t>
            </w:r>
            <w:r>
              <w:rPr>
                <w:rFonts w:hint="eastAsia" w:ascii="宋体" w:hAnsi="宋体" w:eastAsia="宋体" w:cs="宋体"/>
                <w:color w:val="auto"/>
                <w:sz w:val="24"/>
                <w:szCs w:val="24"/>
                <w:lang w:val="en-US" w:eastAsia="zh-CN"/>
              </w:rPr>
              <w:t xml:space="preserve">       主管领导：</w:t>
            </w:r>
            <w:bookmarkStart w:id="0" w:name="联系人"/>
            <w:r>
              <w:rPr>
                <w:rFonts w:hint="eastAsia" w:ascii="宋体" w:hAnsi="宋体" w:cs="宋体"/>
                <w:color w:val="000000"/>
                <w:kern w:val="0"/>
                <w:szCs w:val="24"/>
              </w:rPr>
              <w:t xml:space="preserve">吴树天 </w:t>
            </w:r>
            <w:bookmarkEnd w:id="0"/>
            <w:r>
              <w:rPr>
                <w:rFonts w:hint="eastAsia" w:ascii="宋体" w:hAnsi="宋体" w:eastAsia="宋体" w:cs="宋体"/>
                <w:color w:val="auto"/>
                <w:sz w:val="24"/>
                <w:szCs w:val="24"/>
                <w:lang w:val="en-US" w:eastAsia="zh-CN"/>
              </w:rPr>
              <w:t xml:space="preserve">   陪同人员： </w:t>
            </w:r>
            <w:r>
              <w:rPr>
                <w:rFonts w:hint="eastAsia" w:ascii="宋体" w:hAnsi="宋体"/>
                <w:color w:val="000000"/>
                <w:sz w:val="28"/>
                <w:szCs w:val="28"/>
                <w:highlight w:val="none"/>
                <w:lang w:val="en-US" w:eastAsia="zh-CN"/>
              </w:rPr>
              <w:t>陈善佳</w:t>
            </w:r>
          </w:p>
        </w:tc>
        <w:tc>
          <w:tcPr>
            <w:tcW w:w="1100"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89" w:type="dxa"/>
            <w:vAlign w:val="center"/>
          </w:tcPr>
          <w:p>
            <w:pPr>
              <w:jc w:val="both"/>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审核员：</w:t>
            </w:r>
            <w:r>
              <w:rPr>
                <w:rFonts w:hint="eastAsia" w:ascii="Times New Roman" w:hAnsi="Times New Roman" w:eastAsia="宋体" w:cs="Times New Roman"/>
                <w:color w:val="auto"/>
                <w:sz w:val="24"/>
                <w:szCs w:val="24"/>
                <w:lang w:val="en-US" w:eastAsia="zh-CN"/>
              </w:rPr>
              <w:t xml:space="preserve">   </w:t>
            </w:r>
            <w:r>
              <w:rPr>
                <w:rFonts w:hint="eastAsia" w:cs="Times New Roman"/>
                <w:color w:val="auto"/>
                <w:sz w:val="24"/>
                <w:szCs w:val="24"/>
                <w:lang w:val="en-US" w:eastAsia="zh-CN"/>
              </w:rPr>
              <w:t>李京田</w:t>
            </w:r>
            <w:r>
              <w:rPr>
                <w:rFonts w:hint="eastAsia" w:ascii="Times New Roman" w:hAnsi="Times New Roman" w:eastAsia="宋体" w:cs="Times New Roman"/>
                <w:color w:val="auto"/>
                <w:sz w:val="24"/>
                <w:szCs w:val="24"/>
                <w:lang w:val="en-US" w:eastAsia="zh-CN"/>
              </w:rPr>
              <w:t xml:space="preserve">  </w:t>
            </w:r>
            <w:r>
              <w:rPr>
                <w:rFonts w:hint="eastAsia"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rPr>
              <w:t>审核</w:t>
            </w: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2021.</w:t>
            </w:r>
            <w:r>
              <w:rPr>
                <w:rFonts w:hint="eastAsia" w:ascii="宋体" w:hAnsi="宋体" w:cs="宋体"/>
                <w:color w:val="auto"/>
                <w:sz w:val="24"/>
                <w:szCs w:val="24"/>
                <w:lang w:val="en-US" w:eastAsia="zh-CN"/>
              </w:rPr>
              <w:t>11.21</w:t>
            </w:r>
          </w:p>
        </w:tc>
        <w:tc>
          <w:tcPr>
            <w:tcW w:w="1100"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489" w:type="dxa"/>
            <w:vAlign w:val="center"/>
          </w:tcPr>
          <w:p>
            <w:pPr>
              <w:snapToGrid w:val="0"/>
              <w:spacing w:line="320" w:lineRule="exact"/>
              <w:ind w:left="180" w:hanging="240" w:hangingChars="100"/>
              <w:jc w:val="left"/>
              <w:rPr>
                <w:rFonts w:hint="eastAsia" w:asciiTheme="minorEastAsia" w:hAnsiTheme="minorEastAsia" w:eastAsiaTheme="minorEastAsia" w:cstheme="minorEastAsia"/>
                <w:b w:val="0"/>
                <w:bCs w:val="0"/>
                <w:color w:val="auto"/>
                <w:sz w:val="18"/>
                <w:szCs w:val="18"/>
                <w:u w:val="none"/>
                <w:lang w:val="en-US" w:eastAsia="zh-CN"/>
              </w:rPr>
            </w:pPr>
            <w:r>
              <w:rPr>
                <w:rFonts w:hint="eastAsia" w:ascii="Times New Roman" w:hAnsi="Times New Roman" w:eastAsia="宋体" w:cs="Times New Roman"/>
                <w:color w:val="auto"/>
                <w:sz w:val="24"/>
                <w:szCs w:val="24"/>
              </w:rPr>
              <w:t>审核条款</w:t>
            </w:r>
            <w:r>
              <w:rPr>
                <w:rFonts w:hint="eastAsia" w:ascii="宋体" w:hAnsi="宋体" w:eastAsia="宋体" w:cs="宋体"/>
                <w:color w:val="auto"/>
                <w:sz w:val="24"/>
                <w:szCs w:val="24"/>
                <w:lang w:val="en-US" w:eastAsia="zh-CN"/>
              </w:rPr>
              <w:t>：</w:t>
            </w:r>
            <w:r>
              <w:rPr>
                <w:rFonts w:hint="eastAsia" w:asciiTheme="minorEastAsia" w:hAnsiTheme="minorEastAsia" w:eastAsiaTheme="minorEastAsia" w:cstheme="minorEastAsia"/>
                <w:b/>
                <w:bCs/>
                <w:color w:val="auto"/>
                <w:sz w:val="18"/>
                <w:szCs w:val="18"/>
                <w:lang w:val="en-US" w:eastAsia="zh-CN"/>
              </w:rPr>
              <w:t xml:space="preserve">En </w:t>
            </w:r>
            <w:r>
              <w:rPr>
                <w:rFonts w:hint="eastAsia" w:asciiTheme="minorEastAsia" w:hAnsiTheme="minorEastAsia" w:eastAsiaTheme="minorEastAsia" w:cstheme="minorEastAsia"/>
                <w:b w:val="0"/>
                <w:bCs w:val="0"/>
                <w:color w:val="auto"/>
                <w:sz w:val="18"/>
                <w:szCs w:val="18"/>
                <w:lang w:val="en-US" w:eastAsia="zh-CN"/>
              </w:rPr>
              <w:t>:</w:t>
            </w:r>
            <w:r>
              <w:rPr>
                <w:rFonts w:hint="eastAsia" w:ascii="宋体" w:hAnsi="宋体" w:eastAsia="宋体" w:cs="宋体"/>
                <w:color w:val="auto"/>
                <w:sz w:val="24"/>
                <w:szCs w:val="24"/>
                <w:lang w:val="en-US" w:eastAsia="zh-CN"/>
              </w:rPr>
              <w:t>5.3/6.2/7.2/7.3/7.4/7.5/8.1/9.1.2/9.2/10.1</w:t>
            </w:r>
          </w:p>
          <w:p>
            <w:pPr>
              <w:rPr>
                <w:rFonts w:hint="eastAsia" w:ascii="Times New Roman" w:hAnsi="Times New Roman" w:eastAsia="宋体" w:cs="Times New Roman"/>
                <w:color w:val="auto"/>
                <w:sz w:val="24"/>
                <w:szCs w:val="24"/>
                <w:lang w:val="en-US" w:eastAsia="zh-CN"/>
              </w:rPr>
            </w:pPr>
          </w:p>
        </w:tc>
        <w:tc>
          <w:tcPr>
            <w:tcW w:w="1100"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160" w:type="dxa"/>
            <w:vAlign w:val="top"/>
          </w:tcPr>
          <w:p>
            <w:pPr>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组织的岗位、职责和权限</w:t>
            </w:r>
          </w:p>
          <w:p>
            <w:pPr>
              <w:numPr>
                <w:ilvl w:val="0"/>
                <w:numId w:val="0"/>
              </w:numPr>
              <w:rPr>
                <w:rFonts w:hint="eastAsia" w:ascii="宋体" w:hAnsi="宋体" w:eastAsia="宋体" w:cs="宋体"/>
                <w:color w:val="auto"/>
                <w:sz w:val="24"/>
                <w:szCs w:val="24"/>
                <w:lang w:val="en-US" w:eastAsia="zh-CN"/>
              </w:rPr>
            </w:pPr>
          </w:p>
        </w:tc>
        <w:tc>
          <w:tcPr>
            <w:tcW w:w="960"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En</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5.3 </w:t>
            </w:r>
          </w:p>
          <w:p>
            <w:pPr>
              <w:rPr>
                <w:rFonts w:hint="eastAsia" w:ascii="宋体" w:hAnsi="宋体" w:eastAsia="宋体" w:cs="宋体"/>
                <w:color w:val="auto"/>
                <w:sz w:val="24"/>
                <w:szCs w:val="24"/>
                <w:lang w:val="en-US" w:eastAsia="zh-CN"/>
              </w:rPr>
            </w:pPr>
          </w:p>
        </w:tc>
        <w:tc>
          <w:tcPr>
            <w:tcW w:w="10489" w:type="dxa"/>
            <w:vAlign w:val="top"/>
          </w:tcPr>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询问部门主要负责人：</w:t>
            </w:r>
            <w:r>
              <w:rPr>
                <w:rFonts w:hint="eastAsia" w:ascii="宋体" w:hAnsi="宋体" w:cs="宋体"/>
                <w:color w:val="000000"/>
                <w:kern w:val="0"/>
                <w:szCs w:val="24"/>
              </w:rPr>
              <w:t>吴树天</w:t>
            </w:r>
            <w:r>
              <w:rPr>
                <w:rFonts w:hint="eastAsia" w:ascii="宋体" w:hAnsi="宋体" w:eastAsia="宋体" w:cs="宋体"/>
                <w:color w:val="auto"/>
                <w:sz w:val="24"/>
                <w:szCs w:val="24"/>
                <w:lang w:val="en-US" w:eastAsia="zh-CN"/>
              </w:rPr>
              <w:t xml:space="preserve"> </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主要工作内容和职责权限：</w:t>
            </w:r>
          </w:p>
          <w:p>
            <w:pPr>
              <w:rPr>
                <w:color w:val="auto"/>
                <w:sz w:val="24"/>
                <w:szCs w:val="24"/>
              </w:rPr>
            </w:pPr>
            <w:r>
              <w:rPr>
                <w:rFonts w:hint="eastAsia"/>
                <w:color w:val="auto"/>
                <w:sz w:val="24"/>
                <w:szCs w:val="24"/>
              </w:rPr>
              <w:t>主要负责公司人力资源管理（员工培训）；</w:t>
            </w:r>
          </w:p>
          <w:p>
            <w:pPr>
              <w:rPr>
                <w:color w:val="auto"/>
                <w:sz w:val="24"/>
                <w:szCs w:val="24"/>
              </w:rPr>
            </w:pPr>
            <w:r>
              <w:rPr>
                <w:rFonts w:hint="eastAsia" w:ascii="宋体" w:hAnsi="宋体" w:eastAsia="宋体" w:cs="宋体"/>
                <w:color w:val="auto"/>
                <w:sz w:val="24"/>
                <w:szCs w:val="24"/>
                <w:lang w:val="en-US" w:eastAsia="zh-CN"/>
              </w:rPr>
              <w:t>En</w:t>
            </w:r>
            <w:r>
              <w:rPr>
                <w:rFonts w:hint="eastAsia"/>
                <w:color w:val="auto"/>
                <w:sz w:val="24"/>
                <w:szCs w:val="24"/>
              </w:rPr>
              <w:t>内外部文件管理；</w:t>
            </w:r>
          </w:p>
          <w:p>
            <w:pPr>
              <w:rPr>
                <w:color w:val="auto"/>
                <w:sz w:val="24"/>
                <w:szCs w:val="24"/>
              </w:rPr>
            </w:pPr>
            <w:r>
              <w:rPr>
                <w:rFonts w:hint="eastAsia" w:ascii="宋体" w:hAnsi="宋体" w:eastAsia="宋体" w:cs="宋体"/>
                <w:color w:val="auto"/>
                <w:sz w:val="24"/>
                <w:szCs w:val="24"/>
                <w:lang w:val="en-US" w:eastAsia="zh-CN"/>
              </w:rPr>
              <w:t>En</w:t>
            </w:r>
            <w:r>
              <w:rPr>
                <w:rFonts w:hint="eastAsia"/>
                <w:color w:val="auto"/>
                <w:sz w:val="24"/>
                <w:szCs w:val="24"/>
              </w:rPr>
              <w:t>法律法规的获取、识别与合规性评价；</w:t>
            </w:r>
          </w:p>
          <w:p>
            <w:pPr>
              <w:rPr>
                <w:color w:val="auto"/>
                <w:sz w:val="24"/>
                <w:szCs w:val="24"/>
              </w:rPr>
            </w:pPr>
            <w:r>
              <w:rPr>
                <w:rFonts w:hint="eastAsia" w:ascii="宋体" w:hAnsi="宋体" w:eastAsia="宋体" w:cs="宋体"/>
                <w:color w:val="auto"/>
                <w:sz w:val="24"/>
                <w:szCs w:val="24"/>
                <w:lang w:val="en-US" w:eastAsia="zh-CN"/>
              </w:rPr>
              <w:t>En</w:t>
            </w:r>
            <w:r>
              <w:rPr>
                <w:rFonts w:hint="eastAsia"/>
                <w:color w:val="auto"/>
                <w:sz w:val="24"/>
                <w:szCs w:val="24"/>
              </w:rPr>
              <w:t>管理体系的内审以及不符合项的整改等</w:t>
            </w:r>
          </w:p>
          <w:p>
            <w:pPr>
              <w:rPr>
                <w:color w:val="auto"/>
                <w:sz w:val="24"/>
                <w:szCs w:val="24"/>
              </w:rPr>
            </w:pPr>
            <w:r>
              <w:rPr>
                <w:rFonts w:hint="eastAsia"/>
                <w:color w:val="auto"/>
                <w:sz w:val="24"/>
                <w:szCs w:val="24"/>
              </w:rPr>
              <w:t xml:space="preserve"> </w:t>
            </w:r>
            <w:r>
              <w:rPr>
                <w:color w:val="auto"/>
                <w:sz w:val="24"/>
                <w:szCs w:val="24"/>
              </w:rPr>
              <w:t xml:space="preserve">      </w:t>
            </w:r>
            <w:r>
              <w:rPr>
                <w:rFonts w:hint="eastAsia"/>
                <w:color w:val="auto"/>
                <w:sz w:val="24"/>
                <w:szCs w:val="24"/>
              </w:rPr>
              <w:t>出示有部门能源职责规定及岗位职责规定，内容基本符合要求。</w:t>
            </w:r>
          </w:p>
          <w:p>
            <w:pPr>
              <w:rPr>
                <w:rFonts w:hint="eastAsia" w:ascii="宋体" w:hAnsi="宋体" w:eastAsia="宋体" w:cs="宋体"/>
                <w:color w:val="auto"/>
                <w:sz w:val="24"/>
                <w:szCs w:val="24"/>
                <w:lang w:val="en-US" w:eastAsia="zh-CN"/>
              </w:rPr>
            </w:pPr>
          </w:p>
        </w:tc>
        <w:tc>
          <w:tcPr>
            <w:tcW w:w="1100"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160"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目标，能源指标及其实现的策划</w:t>
            </w:r>
          </w:p>
          <w:p>
            <w:pPr>
              <w:rPr>
                <w:color w:val="auto"/>
              </w:rPr>
            </w:pPr>
            <w:r>
              <w:rPr>
                <w:rFonts w:hint="eastAsia" w:ascii="宋体" w:hAnsi="宋体" w:cs="宋体"/>
                <w:color w:val="auto"/>
                <w:sz w:val="24"/>
                <w:szCs w:val="24"/>
                <w:lang w:val="en-US" w:eastAsia="zh-CN"/>
              </w:rPr>
              <w:t xml:space="preserve"> </w:t>
            </w:r>
          </w:p>
        </w:tc>
        <w:tc>
          <w:tcPr>
            <w:tcW w:w="960"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En</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6.2 </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c>
          <w:tcPr>
            <w:tcW w:w="10489" w:type="dxa"/>
            <w:vAlign w:val="top"/>
          </w:tcPr>
          <w:p>
            <w:pPr>
              <w:ind w:firstLine="420" w:firstLineChars="200"/>
              <w:rPr>
                <w:rFonts w:ascii="宋体" w:hAnsi="宋体" w:cs="宋体"/>
                <w:color w:val="auto"/>
                <w:szCs w:val="21"/>
              </w:rPr>
            </w:pPr>
            <w:r>
              <w:rPr>
                <w:rFonts w:hint="eastAsia" w:ascii="宋体" w:hAnsi="宋体" w:cs="宋体"/>
                <w:color w:val="auto"/>
                <w:szCs w:val="21"/>
              </w:rPr>
              <w:t>执行《管理手册》及《方针目标管理制度》</w:t>
            </w:r>
          </w:p>
          <w:p>
            <w:pPr>
              <w:pStyle w:val="11"/>
              <w:ind w:left="0" w:leftChars="0" w:firstLine="0" w:firstLineChars="0"/>
              <w:rPr>
                <w:rFonts w:hint="eastAsia" w:ascii="宋体" w:hAnsi="宋体" w:eastAsia="宋体" w:cs="宋体"/>
                <w:color w:val="auto"/>
                <w:sz w:val="24"/>
                <w:szCs w:val="24"/>
                <w:lang w:val="en-US" w:eastAsia="zh-CN"/>
              </w:rPr>
            </w:pPr>
          </w:p>
          <w:p>
            <w:pPr>
              <w:pStyle w:val="11"/>
              <w:ind w:left="0" w:leftChars="0" w:firstLine="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能源：</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编制了文件化的《目标、能源指标及管理方案》；</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本部门执行公司的能源总目标；</w:t>
            </w:r>
          </w:p>
          <w:p>
            <w:pP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日常办公注意节水节电、节约汽油及其他办公耗材的消耗、避免不必要的浪费；</w:t>
            </w:r>
          </w:p>
          <w:p>
            <w:pP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 </w:t>
            </w:r>
          </w:p>
        </w:tc>
        <w:tc>
          <w:tcPr>
            <w:tcW w:w="1100" w:type="dxa"/>
            <w:vAlign w:val="top"/>
          </w:tcPr>
          <w:p>
            <w:pPr>
              <w:rPr>
                <w:color w:val="auto"/>
              </w:rPr>
            </w:pPr>
            <w:r>
              <w:rPr>
                <w:rFonts w:hint="eastAsia" w:ascii="宋体" w:hAnsi="宋体" w:cs="宋体"/>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160" w:type="dxa"/>
            <w:vAlign w:val="center"/>
          </w:tcPr>
          <w:p>
            <w:pPr>
              <w:rPr>
                <w:rFonts w:hint="default" w:ascii="宋体" w:hAnsi="宋体" w:cs="宋体"/>
                <w:color w:val="auto"/>
                <w:sz w:val="24"/>
                <w:szCs w:val="24"/>
                <w:lang w:val="en-US" w:eastAsia="zh-CN"/>
              </w:rPr>
            </w:pPr>
            <w:r>
              <w:rPr>
                <w:rFonts w:hint="eastAsia"/>
                <w:color w:val="auto"/>
                <w:szCs w:val="21"/>
              </w:rPr>
              <w:t>人员、能力、培训</w:t>
            </w:r>
          </w:p>
        </w:tc>
        <w:tc>
          <w:tcPr>
            <w:tcW w:w="960" w:type="dxa"/>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En</w:t>
            </w:r>
          </w:p>
          <w:p>
            <w:pPr>
              <w:rPr>
                <w:rFonts w:hint="eastAsia" w:eastAsia="宋体"/>
                <w:color w:val="auto"/>
                <w:szCs w:val="21"/>
                <w:lang w:val="en-US" w:eastAsia="zh-CN"/>
              </w:rPr>
            </w:pPr>
            <w:r>
              <w:rPr>
                <w:color w:val="auto"/>
                <w:szCs w:val="21"/>
              </w:rPr>
              <w:t>7.</w:t>
            </w:r>
            <w:r>
              <w:rPr>
                <w:rFonts w:hint="eastAsia"/>
                <w:color w:val="auto"/>
                <w:szCs w:val="21"/>
                <w:lang w:val="en-US" w:eastAsia="zh-CN"/>
              </w:rPr>
              <w:t>2</w:t>
            </w:r>
          </w:p>
          <w:p>
            <w:pPr>
              <w:pStyle w:val="15"/>
              <w:rPr>
                <w:color w:val="auto"/>
              </w:rPr>
            </w:pP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En</w:t>
            </w:r>
          </w:p>
          <w:p>
            <w:pPr>
              <w:rPr>
                <w:rFonts w:hint="eastAsia" w:eastAsia="宋体"/>
                <w:color w:val="auto"/>
                <w:szCs w:val="21"/>
                <w:highlight w:val="red"/>
                <w:lang w:val="en-US" w:eastAsia="zh-CN"/>
              </w:rPr>
            </w:pPr>
            <w:r>
              <w:rPr>
                <w:rFonts w:hint="eastAsia"/>
                <w:color w:val="auto"/>
                <w:szCs w:val="21"/>
              </w:rPr>
              <w:t>7.</w:t>
            </w:r>
            <w:r>
              <w:rPr>
                <w:rFonts w:hint="eastAsia"/>
                <w:color w:val="auto"/>
                <w:szCs w:val="21"/>
                <w:lang w:val="en-US" w:eastAsia="zh-CN"/>
              </w:rPr>
              <w:t>3</w:t>
            </w:r>
          </w:p>
          <w:p>
            <w:pPr>
              <w:rPr>
                <w:rFonts w:hint="default" w:ascii="宋体" w:hAnsi="宋体" w:eastAsia="宋体" w:cs="宋体"/>
                <w:color w:val="auto"/>
                <w:sz w:val="24"/>
                <w:szCs w:val="24"/>
                <w:lang w:val="en-US" w:eastAsia="zh-CN"/>
              </w:rPr>
            </w:pPr>
          </w:p>
        </w:tc>
        <w:tc>
          <w:tcPr>
            <w:tcW w:w="10489" w:type="dxa"/>
            <w:vAlign w:val="center"/>
          </w:tcPr>
          <w:p>
            <w:pPr>
              <w:pStyle w:val="6"/>
              <w:widowControl/>
              <w:ind w:firstLine="420" w:firstLineChars="200"/>
              <w:rPr>
                <w:rFonts w:ascii="Times New Roman" w:hAnsi="Times New Roman"/>
                <w:color w:val="auto"/>
                <w:szCs w:val="21"/>
              </w:rPr>
            </w:pPr>
            <w:r>
              <w:rPr>
                <w:rFonts w:hint="eastAsia" w:ascii="Times New Roman" w:hAnsi="Times New Roman"/>
                <w:color w:val="auto"/>
                <w:szCs w:val="21"/>
              </w:rPr>
              <w:t>组织在手册中，对企业在职人员进行了人员能力与意识的要求，编制《能力、意识、培训控制程序》和《岗位描述书》，规定了控制要求。对企业的人力资源的培养和发展等作出规定，专业技术人员、特种作业人员等人力资源作出了规划。部门又根据自己部门的特点提供《绩效考核规定》，对员工的绩效进行考核，并与员工的工资相挂钩，查</w:t>
            </w:r>
            <w:r>
              <w:rPr>
                <w:rFonts w:hint="eastAsia" w:ascii="Times New Roman" w:hAnsi="Times New Roman"/>
                <w:color w:val="auto"/>
                <w:szCs w:val="21"/>
                <w:lang w:eastAsia="zh-CN"/>
              </w:rPr>
              <w:t>202</w:t>
            </w:r>
            <w:r>
              <w:rPr>
                <w:rFonts w:hint="eastAsia" w:ascii="Times New Roman" w:hAnsi="Times New Roman"/>
                <w:color w:val="auto"/>
                <w:szCs w:val="21"/>
                <w:lang w:val="en-US" w:eastAsia="zh-CN"/>
              </w:rPr>
              <w:t>1</w:t>
            </w:r>
            <w:r>
              <w:rPr>
                <w:rFonts w:hint="eastAsia" w:ascii="Times New Roman" w:hAnsi="Times New Roman"/>
                <w:color w:val="auto"/>
                <w:szCs w:val="21"/>
              </w:rPr>
              <w:t>年</w:t>
            </w:r>
            <w:r>
              <w:rPr>
                <w:rFonts w:hint="eastAsia" w:ascii="Times New Roman" w:hAnsi="Times New Roman"/>
                <w:color w:val="auto"/>
                <w:szCs w:val="21"/>
                <w:lang w:val="en-US" w:eastAsia="zh-CN"/>
              </w:rPr>
              <w:t>1</w:t>
            </w:r>
            <w:r>
              <w:rPr>
                <w:rFonts w:hint="eastAsia" w:ascii="Times New Roman" w:hAnsi="Times New Roman"/>
                <w:color w:val="auto"/>
                <w:szCs w:val="21"/>
              </w:rPr>
              <w:t>月的考核记录，考核结果基本达成设定的目标值，考核基本与办法保持一致。《岗位描述书》对总经理、管代、内审员、销售员等岗位人员的任职要求从能力、意识、学历、经历、技能等方面作出规定。</w:t>
            </w:r>
          </w:p>
          <w:p>
            <w:pPr>
              <w:rPr>
                <w:rFonts w:ascii="Times New Roman" w:hAnsi="Times New Roman"/>
                <w:color w:val="auto"/>
                <w:szCs w:val="21"/>
              </w:rPr>
            </w:pPr>
            <w:r>
              <w:rPr>
                <w:rFonts w:hint="eastAsia" w:ascii="Times New Roman" w:hAnsi="Times New Roman"/>
                <w:color w:val="auto"/>
                <w:szCs w:val="21"/>
              </w:rPr>
              <w:t>抽查</w:t>
            </w:r>
            <w:r>
              <w:rPr>
                <w:rFonts w:hint="default"/>
                <w:color w:val="auto"/>
                <w:lang w:val="en-US" w:eastAsia="zh-CN"/>
              </w:rPr>
              <w:t>柴泽锋</w:t>
            </w:r>
            <w:r>
              <w:rPr>
                <w:rFonts w:hint="eastAsia"/>
                <w:color w:val="auto"/>
                <w:lang w:eastAsia="zh-CN"/>
              </w:rPr>
              <w:t>、</w:t>
            </w:r>
            <w:r>
              <w:rPr>
                <w:rFonts w:hint="default"/>
                <w:color w:val="auto"/>
                <w:lang w:val="en-US" w:eastAsia="zh-CN"/>
              </w:rPr>
              <w:t xml:space="preserve">徐超 </w:t>
            </w:r>
            <w:r>
              <w:rPr>
                <w:rFonts w:hint="eastAsia"/>
                <w:color w:val="auto"/>
                <w:lang w:eastAsia="zh-CN"/>
              </w:rPr>
              <w:t>、</w:t>
            </w:r>
            <w:r>
              <w:rPr>
                <w:rFonts w:hint="eastAsia"/>
                <w:color w:val="auto"/>
                <w:lang w:val="en-US" w:eastAsia="zh-CN"/>
              </w:rPr>
              <w:t>谭明军</w:t>
            </w:r>
            <w:r>
              <w:rPr>
                <w:rFonts w:hint="eastAsia" w:ascii="Times New Roman" w:hAnsi="Times New Roman"/>
                <w:color w:val="auto"/>
                <w:szCs w:val="21"/>
              </w:rPr>
              <w:t>等均满足任职要求。</w:t>
            </w:r>
          </w:p>
          <w:p>
            <w:pPr>
              <w:pStyle w:val="6"/>
              <w:widowControl/>
              <w:ind w:firstLine="420" w:firstLineChars="200"/>
              <w:rPr>
                <w:rFonts w:hint="eastAsia" w:ascii="Times New Roman" w:hAnsi="Times New Roman"/>
                <w:color w:val="auto"/>
                <w:szCs w:val="21"/>
              </w:rPr>
            </w:pPr>
            <w:r>
              <w:rPr>
                <w:rFonts w:hint="eastAsia" w:ascii="Times New Roman" w:hAnsi="Times New Roman"/>
                <w:color w:val="auto"/>
                <w:szCs w:val="21"/>
              </w:rPr>
              <w:t>根据企业发展规划、现状及各部门意见，人力资源部制定年度培训计划，提供《</w:t>
            </w:r>
            <w:r>
              <w:rPr>
                <w:rFonts w:hint="eastAsia" w:ascii="Times New Roman" w:hAnsi="Times New Roman"/>
                <w:color w:val="auto"/>
                <w:szCs w:val="21"/>
                <w:lang w:eastAsia="zh-CN"/>
              </w:rPr>
              <w:t>202</w:t>
            </w:r>
            <w:r>
              <w:rPr>
                <w:rFonts w:hint="eastAsia" w:ascii="Times New Roman" w:hAnsi="Times New Roman"/>
                <w:color w:val="auto"/>
                <w:szCs w:val="21"/>
                <w:lang w:val="en-US" w:eastAsia="zh-CN"/>
              </w:rPr>
              <w:t>1</w:t>
            </w:r>
            <w:r>
              <w:rPr>
                <w:rFonts w:hint="eastAsia" w:ascii="Times New Roman" w:hAnsi="Times New Roman"/>
                <w:color w:val="auto"/>
                <w:szCs w:val="21"/>
              </w:rPr>
              <w:t>年培训计划》，有培训记录、受培训部门参加培训人员培训方式培训内容考核方式等内容，显示安排标准、管理手册和程序、法律法规和其他要求、方针、</w:t>
            </w:r>
            <w:r>
              <w:rPr>
                <w:rFonts w:hint="eastAsia" w:ascii="Times New Roman" w:hAnsi="Times New Roman"/>
                <w:color w:val="auto"/>
                <w:szCs w:val="21"/>
                <w:lang w:val="en-US" w:eastAsia="zh-CN"/>
              </w:rPr>
              <w:t>节能</w:t>
            </w:r>
            <w:r>
              <w:rPr>
                <w:rFonts w:hint="eastAsia" w:ascii="Times New Roman" w:hAnsi="Times New Roman"/>
                <w:color w:val="auto"/>
                <w:szCs w:val="21"/>
              </w:rPr>
              <w:t>、环境因素和关键特殊施工过程控制培训、意识教育、新员工等培训。编制</w:t>
            </w:r>
            <w:r>
              <w:rPr>
                <w:rFonts w:hint="eastAsia" w:ascii="Times New Roman" w:hAnsi="Times New Roman"/>
                <w:color w:val="auto"/>
                <w:szCs w:val="21"/>
                <w:lang w:eastAsia="zh-CN"/>
              </w:rPr>
              <w:t>综合部</w:t>
            </w:r>
            <w:r>
              <w:rPr>
                <w:rFonts w:hint="eastAsia" w:ascii="Times New Roman" w:hAnsi="Times New Roman"/>
                <w:color w:val="auto"/>
                <w:szCs w:val="21"/>
              </w:rPr>
              <w:t xml:space="preserve">  ，批准</w:t>
            </w:r>
            <w:r>
              <w:rPr>
                <w:rFonts w:hint="eastAsia"/>
                <w:color w:val="auto"/>
                <w:lang w:eastAsia="zh-CN"/>
              </w:rPr>
              <w:t>郑永清</w:t>
            </w:r>
            <w:r>
              <w:rPr>
                <w:rFonts w:hint="eastAsia" w:ascii="Times New Roman" w:hAnsi="Times New Roman"/>
                <w:color w:val="auto"/>
                <w:szCs w:val="21"/>
              </w:rPr>
              <w:t>，日期：</w:t>
            </w:r>
            <w:r>
              <w:rPr>
                <w:rFonts w:hint="eastAsia" w:ascii="Times New Roman" w:hAnsi="Times New Roman"/>
                <w:color w:val="auto"/>
                <w:szCs w:val="21"/>
                <w:lang w:eastAsia="zh-CN"/>
              </w:rPr>
              <w:t>202</w:t>
            </w:r>
            <w:r>
              <w:rPr>
                <w:rFonts w:hint="eastAsia" w:ascii="Times New Roman" w:hAnsi="Times New Roman"/>
                <w:color w:val="auto"/>
                <w:szCs w:val="21"/>
                <w:lang w:val="en-US" w:eastAsia="zh-CN"/>
              </w:rPr>
              <w:t>1</w:t>
            </w:r>
            <w:r>
              <w:rPr>
                <w:rFonts w:hint="eastAsia" w:ascii="Times New Roman" w:hAnsi="Times New Roman"/>
                <w:color w:val="auto"/>
                <w:szCs w:val="21"/>
              </w:rPr>
              <w:t>.</w:t>
            </w:r>
            <w:r>
              <w:rPr>
                <w:rFonts w:hint="eastAsia" w:ascii="Times New Roman" w:hAnsi="Times New Roman"/>
                <w:color w:val="auto"/>
                <w:szCs w:val="21"/>
                <w:lang w:val="en-US" w:eastAsia="zh-CN"/>
              </w:rPr>
              <w:t>4.16</w:t>
            </w:r>
            <w:r>
              <w:rPr>
                <w:rFonts w:hint="eastAsia" w:ascii="Times New Roman" w:hAnsi="Times New Roman"/>
                <w:color w:val="auto"/>
                <w:szCs w:val="21"/>
              </w:rPr>
              <w:t>。</w:t>
            </w:r>
          </w:p>
          <w:p>
            <w:pPr>
              <w:rPr>
                <w:rFonts w:hint="eastAsia" w:ascii="Times New Roman" w:hAnsi="Times New Roman"/>
                <w:color w:val="auto"/>
                <w:szCs w:val="21"/>
              </w:rPr>
            </w:pPr>
            <w:r>
              <w:rPr>
                <w:rFonts w:hint="eastAsia" w:ascii="Times New Roman" w:hAnsi="Times New Roman"/>
                <w:color w:val="auto"/>
                <w:szCs w:val="21"/>
              </w:rPr>
              <w:t>培训题目：管理手册及程序文件等文件培训；法律法规常识等，实施</w:t>
            </w:r>
            <w:r>
              <w:rPr>
                <w:rFonts w:hint="eastAsia" w:ascii="宋体" w:hAnsi="宋体" w:eastAsia="宋体" w:cs="宋体"/>
                <w:color w:val="auto"/>
                <w:sz w:val="24"/>
                <w:szCs w:val="24"/>
                <w:lang w:val="en-US" w:eastAsia="zh-CN"/>
              </w:rPr>
              <w:t>En</w:t>
            </w:r>
            <w:r>
              <w:rPr>
                <w:rFonts w:hint="eastAsia" w:ascii="Times New Roman" w:hAnsi="Times New Roman"/>
                <w:color w:val="auto"/>
                <w:szCs w:val="21"/>
              </w:rPr>
              <w:t>管理体系的意义。向全体员工讲解贯彻标准的意义。并在培训结束后策划本公司管理体系的建立、实施过程。学习手册、程序文件编写格式。培训地点：会议室。</w:t>
            </w:r>
          </w:p>
          <w:p>
            <w:pPr>
              <w:rPr>
                <w:rFonts w:hint="eastAsia" w:ascii="Times New Roman" w:hAnsi="Times New Roman"/>
                <w:color w:val="auto"/>
                <w:szCs w:val="21"/>
              </w:rPr>
            </w:pPr>
            <w:r>
              <w:rPr>
                <w:rFonts w:hint="eastAsia" w:ascii="Times New Roman" w:hAnsi="Times New Roman"/>
                <w:color w:val="auto"/>
                <w:szCs w:val="21"/>
              </w:rPr>
              <w:t>抽1：</w:t>
            </w:r>
            <w:r>
              <w:rPr>
                <w:rFonts w:hint="eastAsia" w:ascii="Times New Roman" w:hAnsi="Times New Roman"/>
                <w:color w:val="auto"/>
                <w:szCs w:val="21"/>
                <w:lang w:eastAsia="zh-CN"/>
              </w:rPr>
              <w:t>202</w:t>
            </w:r>
            <w:r>
              <w:rPr>
                <w:rFonts w:hint="eastAsia" w:ascii="Times New Roman" w:hAnsi="Times New Roman"/>
                <w:color w:val="auto"/>
                <w:szCs w:val="21"/>
                <w:lang w:val="en-US" w:eastAsia="zh-CN"/>
              </w:rPr>
              <w:t>1</w:t>
            </w:r>
            <w:r>
              <w:rPr>
                <w:rFonts w:hint="eastAsia" w:ascii="Times New Roman" w:hAnsi="Times New Roman"/>
                <w:color w:val="auto"/>
                <w:szCs w:val="21"/>
              </w:rPr>
              <w:t>年</w:t>
            </w:r>
            <w:r>
              <w:rPr>
                <w:rFonts w:hint="eastAsia"/>
                <w:color w:val="auto"/>
                <w:szCs w:val="21"/>
                <w:lang w:val="en-US" w:eastAsia="zh-CN"/>
              </w:rPr>
              <w:t>4</w:t>
            </w:r>
            <w:r>
              <w:rPr>
                <w:rFonts w:hint="eastAsia" w:ascii="Times New Roman" w:hAnsi="Times New Roman"/>
                <w:color w:val="auto"/>
                <w:szCs w:val="21"/>
              </w:rPr>
              <w:t>月</w:t>
            </w:r>
            <w:r>
              <w:rPr>
                <w:rFonts w:hint="eastAsia" w:ascii="Times New Roman" w:hAnsi="Times New Roman"/>
                <w:color w:val="auto"/>
                <w:szCs w:val="21"/>
                <w:lang w:val="en-US" w:eastAsia="zh-CN"/>
              </w:rPr>
              <w:t>1</w:t>
            </w:r>
            <w:r>
              <w:rPr>
                <w:rFonts w:hint="eastAsia" w:ascii="Times New Roman" w:hAnsi="Times New Roman"/>
                <w:color w:val="auto"/>
                <w:szCs w:val="21"/>
              </w:rPr>
              <w:t>4日，在会议室进行了管理体系内审员培训，参加人员黄清涛、 彭爱凤</w:t>
            </w:r>
            <w:r>
              <w:rPr>
                <w:rFonts w:hint="eastAsia" w:ascii="Times New Roman" w:hAnsi="Times New Roman"/>
                <w:color w:val="auto"/>
                <w:szCs w:val="21"/>
                <w:lang w:val="en-US" w:eastAsia="zh-CN"/>
              </w:rPr>
              <w:t>等</w:t>
            </w:r>
            <w:r>
              <w:rPr>
                <w:rFonts w:hint="eastAsia" w:ascii="Times New Roman" w:hAnsi="Times New Roman"/>
                <w:color w:val="auto"/>
                <w:szCs w:val="21"/>
              </w:rPr>
              <w:t>；培训效果评价  达到预期效果。评价人：</w:t>
            </w:r>
            <w:r>
              <w:rPr>
                <w:rFonts w:hint="eastAsia" w:ascii="Times New Roman" w:hAnsi="Times New Roman"/>
                <w:color w:val="auto"/>
                <w:szCs w:val="21"/>
                <w:lang w:val="en-US" w:eastAsia="zh-CN"/>
              </w:rPr>
              <w:t>刘</w:t>
            </w:r>
            <w:r>
              <w:rPr>
                <w:rFonts w:hint="eastAsia" w:ascii="Times New Roman" w:hAnsi="Times New Roman"/>
                <w:color w:val="auto"/>
                <w:szCs w:val="21"/>
              </w:rPr>
              <w:t>老师。</w:t>
            </w:r>
          </w:p>
          <w:p>
            <w:pPr>
              <w:rPr>
                <w:color w:val="auto"/>
              </w:rPr>
            </w:pPr>
            <w:r>
              <w:rPr>
                <w:rFonts w:hint="eastAsia"/>
                <w:color w:val="auto"/>
                <w:szCs w:val="21"/>
              </w:rPr>
              <w:t>抽2培训时间：</w:t>
            </w:r>
            <w:r>
              <w:rPr>
                <w:rFonts w:hint="eastAsia"/>
                <w:color w:val="auto"/>
                <w:lang w:eastAsia="zh-CN"/>
              </w:rPr>
              <w:t>202</w:t>
            </w:r>
            <w:r>
              <w:rPr>
                <w:rFonts w:hint="eastAsia"/>
                <w:color w:val="auto"/>
                <w:lang w:val="en-US" w:eastAsia="zh-CN"/>
              </w:rPr>
              <w:t>1</w:t>
            </w:r>
            <w:r>
              <w:rPr>
                <w:rFonts w:hint="eastAsia"/>
                <w:color w:val="auto"/>
              </w:rPr>
              <w:t>.</w:t>
            </w:r>
            <w:r>
              <w:rPr>
                <w:rFonts w:hint="eastAsia"/>
                <w:color w:val="auto"/>
                <w:lang w:val="en-US" w:eastAsia="zh-CN"/>
              </w:rPr>
              <w:t>4.20</w:t>
            </w:r>
            <w:r>
              <w:rPr>
                <w:rFonts w:hint="eastAsia"/>
                <w:color w:val="auto"/>
                <w:szCs w:val="21"/>
              </w:rPr>
              <w:t>，培训人</w:t>
            </w:r>
            <w:r>
              <w:rPr>
                <w:rFonts w:hint="eastAsia"/>
                <w:color w:val="auto"/>
                <w:szCs w:val="21"/>
                <w:lang w:val="en-US" w:eastAsia="zh-CN"/>
              </w:rPr>
              <w:t>李</w:t>
            </w:r>
            <w:r>
              <w:rPr>
                <w:rFonts w:hint="eastAsia"/>
                <w:color w:val="auto"/>
              </w:rPr>
              <w:t>老师，</w:t>
            </w:r>
            <w:r>
              <w:rPr>
                <w:rFonts w:hint="eastAsia"/>
                <w:color w:val="auto"/>
                <w:szCs w:val="21"/>
              </w:rPr>
              <w:t>培训人员：</w:t>
            </w:r>
            <w:r>
              <w:rPr>
                <w:rFonts w:hint="eastAsia"/>
                <w:color w:val="auto"/>
                <w:lang w:val="en-US" w:eastAsia="zh-CN"/>
              </w:rPr>
              <w:t>全体</w:t>
            </w:r>
            <w:r>
              <w:rPr>
                <w:rFonts w:hint="eastAsia"/>
                <w:color w:val="auto"/>
              </w:rPr>
              <w:t>等</w:t>
            </w:r>
            <w:r>
              <w:rPr>
                <w:rFonts w:hint="eastAsia"/>
                <w:color w:val="auto"/>
                <w:szCs w:val="21"/>
              </w:rPr>
              <w:t xml:space="preserve"> 。培训有效性评价：培训内容：</w:t>
            </w:r>
            <w:r>
              <w:rPr>
                <w:rFonts w:hint="eastAsia" w:ascii="Times New Roman" w:hAnsi="Times New Roman" w:eastAsia="宋体" w:cs="Courier New"/>
                <w:color w:val="auto"/>
                <w:kern w:val="2"/>
                <w:sz w:val="21"/>
                <w:szCs w:val="21"/>
                <w:lang w:val="en-US" w:eastAsia="zh-CN" w:bidi="ar-SA"/>
              </w:rPr>
              <w:t>ISO50001：2018标准知识、</w:t>
            </w:r>
            <w:r>
              <w:rPr>
                <w:rFonts w:hint="eastAsia" w:hAnsi="宋体"/>
                <w:color w:val="auto"/>
                <w:szCs w:val="21"/>
              </w:rPr>
              <w:t>概念培训</w:t>
            </w:r>
            <w:r>
              <w:rPr>
                <w:rFonts w:hint="eastAsia"/>
                <w:color w:val="auto"/>
                <w:szCs w:val="21"/>
              </w:rPr>
              <w:t>，培训取得预期效果。评价人：</w:t>
            </w:r>
            <w:r>
              <w:rPr>
                <w:rFonts w:hint="eastAsia"/>
                <w:color w:val="auto"/>
                <w:szCs w:val="21"/>
                <w:lang w:val="en-US" w:eastAsia="zh-CN"/>
              </w:rPr>
              <w:t>李</w:t>
            </w:r>
            <w:r>
              <w:rPr>
                <w:rFonts w:hint="eastAsia"/>
                <w:color w:val="auto"/>
              </w:rPr>
              <w:t>老师</w:t>
            </w:r>
            <w:r>
              <w:rPr>
                <w:rFonts w:hint="eastAsia"/>
                <w:color w:val="auto"/>
                <w:szCs w:val="21"/>
              </w:rPr>
              <w:t xml:space="preserve">。 </w:t>
            </w:r>
          </w:p>
          <w:p>
            <w:pPr>
              <w:rPr>
                <w:rFonts w:hint="eastAsia"/>
              </w:rPr>
            </w:pPr>
            <w:r>
              <w:rPr>
                <w:rFonts w:hint="eastAsia"/>
                <w:color w:val="auto"/>
                <w:szCs w:val="21"/>
              </w:rPr>
              <w:t>抽3、</w:t>
            </w:r>
            <w:r>
              <w:rPr>
                <w:rFonts w:hint="eastAsia"/>
                <w:color w:val="auto"/>
                <w:lang w:eastAsia="zh-CN"/>
              </w:rPr>
              <w:t>202</w:t>
            </w:r>
            <w:r>
              <w:rPr>
                <w:rFonts w:hint="eastAsia"/>
                <w:color w:val="auto"/>
                <w:lang w:val="en-US" w:eastAsia="zh-CN"/>
              </w:rPr>
              <w:t>1</w:t>
            </w:r>
            <w:r>
              <w:rPr>
                <w:rFonts w:hint="eastAsia"/>
                <w:color w:val="auto"/>
              </w:rPr>
              <w:t xml:space="preserve"> .</w:t>
            </w:r>
            <w:r>
              <w:rPr>
                <w:rFonts w:hint="eastAsia"/>
                <w:color w:val="auto"/>
                <w:lang w:val="en-US" w:eastAsia="zh-CN"/>
              </w:rPr>
              <w:t>6.15</w:t>
            </w:r>
            <w:r>
              <w:rPr>
                <w:rFonts w:hint="eastAsia"/>
                <w:color w:val="auto"/>
                <w:szCs w:val="21"/>
              </w:rPr>
              <w:t>培训记录：管理手册、程序文件培训。培训取得预期效果。参加人员：</w:t>
            </w:r>
            <w:r>
              <w:rPr>
                <w:rFonts w:hint="eastAsia"/>
                <w:color w:val="auto"/>
                <w:lang w:val="en-US" w:eastAsia="zh-CN"/>
              </w:rPr>
              <w:t>全体</w:t>
            </w:r>
            <w:r>
              <w:rPr>
                <w:rFonts w:hint="eastAsia"/>
                <w:color w:val="auto"/>
                <w:szCs w:val="21"/>
              </w:rPr>
              <w:t>。训有效性评价：培训取得预期效果。评价人：</w:t>
            </w:r>
            <w:r>
              <w:rPr>
                <w:rFonts w:hint="eastAsia"/>
                <w:color w:val="auto"/>
                <w:szCs w:val="21"/>
                <w:lang w:val="en-US" w:eastAsia="zh-CN"/>
              </w:rPr>
              <w:t>李</w:t>
            </w:r>
            <w:r>
              <w:rPr>
                <w:rFonts w:hint="eastAsia"/>
                <w:color w:val="auto"/>
              </w:rPr>
              <w:t>老师</w:t>
            </w:r>
            <w:r>
              <w:rPr>
                <w:rFonts w:hint="eastAsia"/>
                <w:color w:val="auto"/>
                <w:szCs w:val="21"/>
              </w:rPr>
              <w:t>。</w:t>
            </w:r>
          </w:p>
          <w:p>
            <w:pPr>
              <w:ind w:firstLine="210" w:firstLineChars="100"/>
              <w:rPr>
                <w:color w:val="auto"/>
                <w:szCs w:val="21"/>
              </w:rPr>
            </w:pPr>
            <w:r>
              <w:rPr>
                <w:rFonts w:hint="eastAsia"/>
                <w:color w:val="auto"/>
                <w:szCs w:val="21"/>
              </w:rPr>
              <w:t>通过下发文件、能力提升培训等方式使公司控制范围内开展工作的人员知晓管理方针及相关的</w:t>
            </w:r>
            <w:r>
              <w:rPr>
                <w:rFonts w:hint="eastAsia"/>
                <w:color w:val="auto"/>
                <w:szCs w:val="21"/>
                <w:lang w:val="en-US" w:eastAsia="zh-CN"/>
              </w:rPr>
              <w:t>能源及环节</w:t>
            </w:r>
            <w:r>
              <w:rPr>
                <w:rFonts w:hint="eastAsia"/>
                <w:color w:val="auto"/>
                <w:szCs w:val="21"/>
              </w:rPr>
              <w:t>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pStyle w:val="15"/>
              <w:ind w:firstLine="460" w:firstLineChars="200"/>
              <w:rPr>
                <w:rFonts w:hint="eastAsia"/>
                <w:color w:val="auto"/>
                <w:szCs w:val="21"/>
              </w:rPr>
            </w:pPr>
            <w:r>
              <w:rPr>
                <w:rFonts w:hint="eastAsia"/>
                <w:color w:val="auto"/>
                <w:szCs w:val="21"/>
              </w:rPr>
              <w:t>抽查一名员工，询问公司</w:t>
            </w:r>
            <w:r>
              <w:rPr>
                <w:rFonts w:hint="eastAsia"/>
                <w:color w:val="auto"/>
                <w:szCs w:val="21"/>
                <w:lang w:val="en-US" w:eastAsia="zh-CN"/>
              </w:rPr>
              <w:t>能源</w:t>
            </w:r>
            <w:r>
              <w:rPr>
                <w:rFonts w:hint="eastAsia"/>
                <w:color w:val="auto"/>
                <w:szCs w:val="21"/>
              </w:rPr>
              <w:t>方针和目标，及对方针的了解，能够正确回答。</w:t>
            </w:r>
            <w:r>
              <w:rPr>
                <w:rFonts w:hint="eastAsia"/>
                <w:color w:val="auto"/>
                <w:lang w:val="en-US" w:eastAsia="zh-CN"/>
              </w:rPr>
              <w:t xml:space="preserve">  </w:t>
            </w:r>
            <w:r>
              <w:rPr>
                <w:rFonts w:hint="eastAsia"/>
                <w:color w:val="auto"/>
                <w:szCs w:val="21"/>
              </w:rPr>
              <w:t>人力资源控制基本满足要求。</w:t>
            </w:r>
          </w:p>
          <w:p>
            <w:pPr>
              <w:pStyle w:val="15"/>
              <w:ind w:firstLine="460" w:firstLineChars="200"/>
              <w:rPr>
                <w:rFonts w:hint="eastAsia"/>
                <w:color w:val="auto"/>
                <w:szCs w:val="21"/>
                <w:lang w:val="en-US" w:eastAsia="zh-CN"/>
              </w:rPr>
            </w:pPr>
          </w:p>
        </w:tc>
        <w:tc>
          <w:tcPr>
            <w:tcW w:w="1100" w:type="dxa"/>
            <w:vAlign w:val="top"/>
          </w:tcPr>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160" w:type="dxa"/>
            <w:vAlign w:val="top"/>
          </w:tcPr>
          <w:p>
            <w:pP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信息交流</w:t>
            </w:r>
          </w:p>
        </w:tc>
        <w:tc>
          <w:tcPr>
            <w:tcW w:w="960" w:type="dxa"/>
            <w:vAlign w:val="top"/>
          </w:tcPr>
          <w:p>
            <w:pP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7.4</w:t>
            </w:r>
          </w:p>
        </w:tc>
        <w:tc>
          <w:tcPr>
            <w:tcW w:w="10489" w:type="dxa"/>
            <w:vAlign w:val="top"/>
          </w:tcPr>
          <w:p>
            <w:pPr>
              <w:ind w:firstLine="210" w:firstLineChars="100"/>
              <w:rPr>
                <w:rFonts w:hint="eastAsia" w:eastAsia="宋体"/>
                <w:color w:val="auto"/>
                <w:szCs w:val="21"/>
                <w:lang w:val="en-US" w:eastAsia="zh-CN"/>
              </w:rPr>
            </w:pPr>
            <w:r>
              <w:rPr>
                <w:rFonts w:hint="eastAsia" w:eastAsia="宋体"/>
                <w:color w:val="auto"/>
                <w:szCs w:val="21"/>
                <w:lang w:val="en-US" w:eastAsia="zh-CN"/>
              </w:rPr>
              <w:t>策划编制的程序文件《信息交流控制程序》及管理手册的相关章节规定了企业内、外部沟通和协商的要求，经查阅和交谈符合标准要求。</w:t>
            </w:r>
          </w:p>
          <w:p>
            <w:pPr>
              <w:ind w:firstLine="210" w:firstLineChars="100"/>
              <w:rPr>
                <w:rFonts w:hint="eastAsia" w:eastAsia="宋体"/>
                <w:color w:val="auto"/>
                <w:szCs w:val="21"/>
                <w:lang w:val="en-US" w:eastAsia="zh-CN"/>
              </w:rPr>
            </w:pPr>
            <w:r>
              <w:rPr>
                <w:rFonts w:hint="eastAsia" w:eastAsia="宋体"/>
                <w:color w:val="auto"/>
                <w:szCs w:val="21"/>
                <w:lang w:val="en-US" w:eastAsia="zh-CN"/>
              </w:rPr>
              <w:t>总经理负责在公司建立畅通的沟通渠道。管理者代表是公司内部和外部信息交流和沟通的负责人。综合管理部是公司内部和外部信息交流和协商的归口综合部。负责与上级主管部门及周边单位的信息交流；负责与管理体系、法律法规等有关的内部和外部信息交流；负责与采购供方、客户等相关方之间的沟通。各部门收集到有关能源管理及节能方面的信息，包括法律法规等，及时向综合部反馈。项目部负责顾客要求方面的有关事宜的沟通。</w:t>
            </w:r>
          </w:p>
          <w:p>
            <w:pPr>
              <w:ind w:firstLine="210" w:firstLineChars="100"/>
              <w:rPr>
                <w:rFonts w:hint="eastAsia" w:ascii="宋体" w:hAnsi="宋体" w:eastAsia="宋体" w:cs="宋体"/>
                <w:color w:val="auto"/>
                <w:kern w:val="2"/>
                <w:sz w:val="24"/>
                <w:szCs w:val="24"/>
                <w:lang w:val="en-US" w:eastAsia="zh-CN" w:bidi="ar-SA"/>
              </w:rPr>
            </w:pPr>
            <w:r>
              <w:rPr>
                <w:rFonts w:hint="eastAsia" w:eastAsia="宋体"/>
                <w:color w:val="auto"/>
                <w:szCs w:val="21"/>
                <w:lang w:val="en-US" w:eastAsia="zh-CN"/>
              </w:rPr>
              <w:t>目前各项沟通都较为及时、顺畅、效果较好。</w:t>
            </w:r>
          </w:p>
        </w:tc>
        <w:tc>
          <w:tcPr>
            <w:tcW w:w="1100"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2160" w:type="dxa"/>
            <w:vAlign w:val="top"/>
          </w:tcPr>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形成文件的信息 </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总则 </w:t>
            </w:r>
          </w:p>
          <w:p>
            <w:pPr>
              <w:rPr>
                <w:rFonts w:hint="eastAsia" w:ascii="宋体" w:hAnsi="宋体" w:eastAsia="宋体" w:cs="宋体"/>
                <w:color w:val="auto"/>
                <w:kern w:val="2"/>
                <w:sz w:val="24"/>
                <w:szCs w:val="24"/>
                <w:lang w:val="en-US" w:eastAsia="zh-CN" w:bidi="ar-SA"/>
              </w:rPr>
            </w:pPr>
          </w:p>
        </w:tc>
        <w:tc>
          <w:tcPr>
            <w:tcW w:w="960" w:type="dxa"/>
            <w:vAlign w:val="top"/>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7.5 </w:t>
            </w:r>
          </w:p>
          <w:p>
            <w:pPr>
              <w:rPr>
                <w:rFonts w:hint="default" w:ascii="宋体" w:hAnsi="宋体" w:eastAsia="宋体" w:cs="宋体"/>
                <w:color w:val="auto"/>
                <w:kern w:val="2"/>
                <w:sz w:val="24"/>
                <w:szCs w:val="24"/>
                <w:lang w:val="en-US" w:eastAsia="zh-CN" w:bidi="ar-SA"/>
              </w:rPr>
            </w:pPr>
          </w:p>
        </w:tc>
        <w:tc>
          <w:tcPr>
            <w:tcW w:w="10489" w:type="dxa"/>
            <w:vAlign w:val="top"/>
          </w:tcPr>
          <w:p>
            <w:pPr>
              <w:ind w:firstLine="210" w:firstLineChars="100"/>
              <w:rPr>
                <w:rFonts w:hint="eastAsia" w:eastAsia="宋体"/>
                <w:color w:val="auto"/>
                <w:szCs w:val="21"/>
                <w:lang w:val="en-US" w:eastAsia="zh-CN"/>
              </w:rPr>
            </w:pPr>
            <w:r>
              <w:rPr>
                <w:rFonts w:hint="eastAsia" w:eastAsia="宋体"/>
                <w:color w:val="auto"/>
                <w:szCs w:val="21"/>
                <w:lang w:val="en-US" w:eastAsia="zh-CN"/>
              </w:rPr>
              <w:t>公司对管理体系文件控制进行了策划，形成了文件化的管理手册、程序文件、三层次管理文件以及所要求的记录。</w:t>
            </w:r>
          </w:p>
          <w:p>
            <w:pPr>
              <w:ind w:firstLine="210" w:firstLineChars="100"/>
              <w:rPr>
                <w:rFonts w:hint="eastAsia" w:eastAsia="宋体"/>
                <w:color w:val="auto"/>
                <w:szCs w:val="21"/>
                <w:lang w:val="en-US" w:eastAsia="zh-CN"/>
              </w:rPr>
            </w:pPr>
            <w:r>
              <w:rPr>
                <w:rFonts w:hint="eastAsia" w:eastAsia="宋体"/>
                <w:color w:val="auto"/>
                <w:szCs w:val="21"/>
                <w:lang w:val="en-US" w:eastAsia="zh-CN"/>
              </w:rPr>
              <w:t>公司编制的程序文件符合标准要求的所有程序文件，第三层次文件对体系及其相互关系在手册中做了描述，记录表单满足公司目前的管理体系运行的需要。</w:t>
            </w:r>
          </w:p>
          <w:p>
            <w:pPr>
              <w:ind w:firstLine="210" w:firstLineChars="100"/>
              <w:rPr>
                <w:rFonts w:hint="eastAsia" w:eastAsia="宋体"/>
                <w:color w:val="auto"/>
                <w:szCs w:val="21"/>
                <w:lang w:val="en-US" w:eastAsia="zh-CN"/>
              </w:rPr>
            </w:pPr>
            <w:r>
              <w:rPr>
                <w:rFonts w:hint="eastAsia" w:eastAsia="宋体"/>
                <w:color w:val="auto"/>
                <w:szCs w:val="21"/>
                <w:lang w:val="en-US" w:eastAsia="zh-CN"/>
              </w:rPr>
              <w:t>公司文件分类：一级文件：管理手册。</w:t>
            </w:r>
          </w:p>
          <w:p>
            <w:pPr>
              <w:ind w:firstLine="210" w:firstLineChars="100"/>
              <w:rPr>
                <w:rFonts w:hint="eastAsia" w:eastAsia="宋体"/>
                <w:color w:val="auto"/>
                <w:szCs w:val="21"/>
                <w:lang w:val="en-US" w:eastAsia="zh-CN"/>
              </w:rPr>
            </w:pPr>
            <w:r>
              <w:rPr>
                <w:rFonts w:hint="eastAsia" w:eastAsia="宋体"/>
                <w:color w:val="auto"/>
                <w:szCs w:val="21"/>
                <w:lang w:val="en-US" w:eastAsia="zh-CN"/>
              </w:rPr>
              <w:t>二级文件：公司编制了程序文件，包括能源标准要求的所有程序。</w:t>
            </w:r>
          </w:p>
          <w:p>
            <w:pPr>
              <w:ind w:firstLine="210" w:firstLineChars="100"/>
              <w:rPr>
                <w:rFonts w:hint="eastAsia" w:eastAsia="宋体"/>
                <w:color w:val="auto"/>
                <w:szCs w:val="21"/>
                <w:lang w:val="en-US" w:eastAsia="zh-CN"/>
              </w:rPr>
            </w:pPr>
            <w:r>
              <w:rPr>
                <w:rFonts w:hint="eastAsia" w:eastAsia="宋体"/>
                <w:color w:val="auto"/>
                <w:szCs w:val="21"/>
                <w:lang w:val="en-US" w:eastAsia="zh-CN"/>
              </w:rPr>
              <w:t>三层次文件：制度和作业指导书，外来文件：包括产品国家标准，能源及运行记录，满足公司目前的管理体系运行的需要。体系文件基本能保证有效性和效率的要求。</w:t>
            </w:r>
          </w:p>
          <w:p>
            <w:pPr>
              <w:ind w:firstLine="210" w:firstLineChars="100"/>
              <w:rPr>
                <w:rFonts w:hint="eastAsia" w:eastAsia="宋体"/>
                <w:color w:val="auto"/>
                <w:szCs w:val="21"/>
                <w:lang w:val="en-US" w:eastAsia="zh-CN"/>
              </w:rPr>
            </w:pPr>
            <w:r>
              <w:rPr>
                <w:rFonts w:hint="eastAsia" w:eastAsia="宋体"/>
                <w:color w:val="auto"/>
                <w:szCs w:val="21"/>
                <w:lang w:val="en-US" w:eastAsia="zh-CN"/>
              </w:rPr>
              <w:t>查公司按照文审要求对管理手册进行了修改，符合要求。</w:t>
            </w:r>
          </w:p>
          <w:p>
            <w:pPr>
              <w:ind w:firstLine="210" w:firstLineChars="100"/>
              <w:rPr>
                <w:rFonts w:hint="eastAsia" w:eastAsia="宋体"/>
                <w:color w:val="auto"/>
                <w:szCs w:val="21"/>
                <w:lang w:val="en-US" w:eastAsia="zh-CN"/>
              </w:rPr>
            </w:pPr>
            <w:r>
              <w:rPr>
                <w:rFonts w:hint="eastAsia" w:eastAsia="宋体"/>
                <w:color w:val="auto"/>
                <w:szCs w:val="21"/>
                <w:lang w:val="en-US" w:eastAsia="zh-CN"/>
              </w:rPr>
              <w:t>公司编制并实施了《文件管理程序》，文件包括：手册、程序文件及产品生产过程质量检查考核标准、固废管理制度、安全教育管理制度等。</w:t>
            </w:r>
          </w:p>
          <w:p>
            <w:pPr>
              <w:ind w:firstLine="210" w:firstLineChars="100"/>
              <w:rPr>
                <w:rFonts w:hint="eastAsia" w:eastAsia="宋体"/>
                <w:color w:val="auto"/>
                <w:szCs w:val="21"/>
                <w:lang w:val="en-US" w:eastAsia="zh-CN"/>
              </w:rPr>
            </w:pPr>
            <w:r>
              <w:rPr>
                <w:rFonts w:hint="eastAsia" w:eastAsia="宋体"/>
                <w:color w:val="auto"/>
                <w:szCs w:val="21"/>
                <w:lang w:val="en-US" w:eastAsia="zh-CN"/>
              </w:rPr>
              <w:t xml:space="preserve"> 查管理手册、程序文件等文件，编制：综合部，批准：总经理，查文件编审批齐全、文件清晰符合文件控制程序基本要求。查综合部文件，为有效版本。</w:t>
            </w:r>
          </w:p>
          <w:p>
            <w:pPr>
              <w:ind w:firstLine="210" w:firstLineChars="100"/>
              <w:rPr>
                <w:rFonts w:hint="eastAsia" w:eastAsia="宋体"/>
                <w:color w:val="auto"/>
                <w:szCs w:val="21"/>
                <w:lang w:val="en-US" w:eastAsia="zh-CN"/>
              </w:rPr>
            </w:pPr>
            <w:r>
              <w:rPr>
                <w:rFonts w:hint="eastAsia" w:eastAsia="宋体"/>
                <w:color w:val="auto"/>
                <w:szCs w:val="21"/>
                <w:lang w:val="en-US" w:eastAsia="zh-CN"/>
              </w:rPr>
              <w:t>查外来文件：与产品要求和质量、环境、职业健康安全管理体系运行有关的国家法律法规、标准等；行业、地方颁布的条例、标准、规范、规程、办法等，查外来文件具体有能源体系标准等，如《中华人民共和国节约能源法》、《企业能源审计技术通则》、《GBT2589《综合能耗计算通则》》、《GBT 15587-2008 工业企业能源管理导则》、《GBT 13234-2009 企业节能量计算方法》等。</w:t>
            </w:r>
          </w:p>
          <w:p>
            <w:pPr>
              <w:ind w:firstLine="210" w:firstLineChars="100"/>
              <w:rPr>
                <w:rFonts w:hint="eastAsia" w:eastAsia="宋体"/>
                <w:color w:val="auto"/>
                <w:szCs w:val="21"/>
                <w:lang w:val="en-US" w:eastAsia="zh-CN"/>
              </w:rPr>
            </w:pPr>
            <w:r>
              <w:rPr>
                <w:rFonts w:hint="eastAsia" w:eastAsia="宋体"/>
                <w:color w:val="auto"/>
                <w:szCs w:val="21"/>
                <w:lang w:val="en-US" w:eastAsia="zh-CN"/>
              </w:rPr>
              <w:t>查文件发放：综合办下发了能源管理手册、程序文件等文件。</w:t>
            </w:r>
          </w:p>
          <w:p>
            <w:pPr>
              <w:ind w:firstLine="210" w:firstLineChars="100"/>
              <w:rPr>
                <w:rFonts w:hint="eastAsia" w:eastAsia="宋体"/>
                <w:color w:val="auto"/>
                <w:szCs w:val="21"/>
                <w:lang w:val="en-US" w:eastAsia="zh-CN"/>
              </w:rPr>
            </w:pPr>
            <w:r>
              <w:rPr>
                <w:rFonts w:hint="eastAsia" w:eastAsia="宋体"/>
                <w:color w:val="auto"/>
                <w:szCs w:val="21"/>
                <w:lang w:val="en-US" w:eastAsia="zh-CN"/>
              </w:rPr>
              <w:t>查文件有标识，检索方便，文件夹存放于文件柜内，防护符合要求。</w:t>
            </w:r>
          </w:p>
          <w:p>
            <w:pPr>
              <w:ind w:firstLine="210" w:firstLineChars="100"/>
              <w:rPr>
                <w:rFonts w:hint="eastAsia" w:eastAsia="宋体"/>
                <w:color w:val="auto"/>
                <w:szCs w:val="21"/>
                <w:lang w:val="en-US" w:eastAsia="zh-CN"/>
              </w:rPr>
            </w:pPr>
            <w:r>
              <w:rPr>
                <w:rFonts w:hint="eastAsia" w:eastAsia="宋体"/>
                <w:color w:val="auto"/>
                <w:szCs w:val="21"/>
                <w:lang w:val="en-US" w:eastAsia="zh-CN"/>
              </w:rPr>
              <w:t>公司按《记录管理程序》实施对管理体系记录的标识、贮存、保护、检索、保存期限和处置等按规定实施。</w:t>
            </w:r>
          </w:p>
          <w:p>
            <w:pPr>
              <w:ind w:firstLine="210" w:firstLineChars="100"/>
              <w:rPr>
                <w:rFonts w:hint="eastAsia" w:eastAsia="宋体"/>
                <w:color w:val="auto"/>
                <w:szCs w:val="21"/>
                <w:lang w:val="en-US" w:eastAsia="zh-CN"/>
              </w:rPr>
            </w:pPr>
            <w:r>
              <w:rPr>
                <w:rFonts w:hint="eastAsia" w:eastAsia="宋体"/>
                <w:color w:val="auto"/>
                <w:szCs w:val="21"/>
                <w:lang w:val="en-US" w:eastAsia="zh-CN"/>
              </w:rPr>
              <w:t>公司提供《记录清单》包括有内审报告、供方评价表、管理评审报告等记录。明确了记录名称、编号、使用保存部门、保存期限等，并经审核后使用。</w:t>
            </w:r>
          </w:p>
          <w:p>
            <w:pPr>
              <w:ind w:firstLine="210" w:firstLineChars="100"/>
              <w:rPr>
                <w:rFonts w:hint="eastAsia" w:eastAsia="宋体"/>
                <w:color w:val="auto"/>
                <w:szCs w:val="21"/>
                <w:lang w:val="en-US" w:eastAsia="zh-CN"/>
              </w:rPr>
            </w:pPr>
            <w:r>
              <w:rPr>
                <w:rFonts w:hint="eastAsia" w:eastAsia="宋体"/>
                <w:color w:val="auto"/>
                <w:szCs w:val="21"/>
                <w:lang w:val="en-US" w:eastAsia="zh-CN"/>
              </w:rPr>
              <w:t>公司各种记录由各使用部门保存，查阅综合部保存的记录环境情况，归档文件、记录存放于文件柜内，环境干燥、通风，符合文件归档的要求。</w:t>
            </w:r>
          </w:p>
          <w:p>
            <w:pPr>
              <w:ind w:firstLine="210" w:firstLineChars="100"/>
              <w:rPr>
                <w:rFonts w:hint="eastAsia" w:eastAsia="宋体"/>
                <w:color w:val="auto"/>
                <w:szCs w:val="21"/>
                <w:lang w:val="en-US" w:eastAsia="zh-CN"/>
              </w:rPr>
            </w:pPr>
            <w:r>
              <w:rPr>
                <w:rFonts w:hint="eastAsia" w:eastAsia="宋体"/>
                <w:color w:val="auto"/>
                <w:szCs w:val="21"/>
                <w:lang w:val="en-US" w:eastAsia="zh-CN"/>
              </w:rPr>
              <w:t>抽查归档文件整理情况，综合部已将文件进行了分类，按记录的名称、编号及时间装文件袋进行归档，记录清洁，字迹清晰，检索方便，抽查有内部审核资料、管理评审资料等，均已装订成册。</w:t>
            </w:r>
          </w:p>
          <w:p>
            <w:pPr>
              <w:ind w:firstLine="210" w:firstLineChars="100"/>
              <w:rPr>
                <w:rFonts w:hint="eastAsia" w:eastAsia="宋体"/>
                <w:color w:val="auto"/>
                <w:szCs w:val="21"/>
                <w:lang w:val="en-US" w:eastAsia="zh-CN"/>
              </w:rPr>
            </w:pPr>
            <w:r>
              <w:rPr>
                <w:rFonts w:hint="eastAsia" w:eastAsia="宋体"/>
                <w:color w:val="auto"/>
                <w:szCs w:val="21"/>
                <w:lang w:val="en-US" w:eastAsia="zh-CN"/>
              </w:rPr>
              <w:t>提供了作废文件记录：有作废理由、作废日期及申请部门、审核人签字，目前无作废文件记录。</w:t>
            </w:r>
          </w:p>
          <w:p>
            <w:pPr>
              <w:ind w:firstLine="210" w:firstLineChars="100"/>
              <w:rPr>
                <w:rFonts w:hint="eastAsia" w:ascii="宋体" w:hAnsi="宋体" w:eastAsia="宋体" w:cs="宋体"/>
                <w:color w:val="auto"/>
                <w:kern w:val="2"/>
                <w:sz w:val="24"/>
                <w:szCs w:val="24"/>
                <w:lang w:val="en-US" w:eastAsia="zh-CN" w:bidi="ar-SA"/>
              </w:rPr>
            </w:pPr>
            <w:r>
              <w:rPr>
                <w:rFonts w:hint="eastAsia" w:eastAsia="宋体"/>
                <w:color w:val="auto"/>
                <w:szCs w:val="21"/>
                <w:lang w:val="en-US" w:eastAsia="zh-CN"/>
              </w:rPr>
              <w:t>文件记录控制基本有效。</w:t>
            </w:r>
          </w:p>
        </w:tc>
        <w:tc>
          <w:tcPr>
            <w:tcW w:w="1100"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运行策划和控制</w:t>
            </w:r>
          </w:p>
        </w:tc>
        <w:tc>
          <w:tcPr>
            <w:tcW w:w="960" w:type="dxa"/>
            <w:vAlign w:val="top"/>
          </w:tcPr>
          <w:p>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8.1</w:t>
            </w:r>
          </w:p>
        </w:tc>
        <w:tc>
          <w:tcPr>
            <w:tcW w:w="10489" w:type="dxa"/>
            <w:vAlign w:val="top"/>
          </w:tcPr>
          <w:p>
            <w:pPr>
              <w:rPr>
                <w:rFonts w:hint="eastAsia"/>
                <w:color w:val="auto"/>
                <w:lang w:val="en-US" w:eastAsia="zh-CN"/>
              </w:rPr>
            </w:pPr>
            <w:r>
              <w:rPr>
                <w:rFonts w:hint="eastAsia"/>
                <w:color w:val="auto"/>
                <w:lang w:val="en-US" w:eastAsia="zh-CN"/>
              </w:rPr>
              <w:t>编制了《能源管理制度》、《节能降耗管理制度》、《设备管理制度》等；</w:t>
            </w:r>
          </w:p>
          <w:p>
            <w:pPr>
              <w:rPr>
                <w:rFonts w:hint="default"/>
                <w:color w:val="auto"/>
                <w:lang w:val="en-US" w:eastAsia="zh-CN"/>
              </w:rPr>
            </w:pPr>
            <w:r>
              <w:rPr>
                <w:rFonts w:hint="eastAsia"/>
                <w:color w:val="auto"/>
                <w:lang w:val="en-US" w:eastAsia="zh-CN"/>
              </w:rPr>
              <w:t>运行情况：</w:t>
            </w:r>
          </w:p>
          <w:p>
            <w:pPr>
              <w:rPr>
                <w:rFonts w:hint="default"/>
                <w:color w:val="auto"/>
                <w:lang w:val="en-US" w:eastAsia="zh-CN"/>
              </w:rPr>
            </w:pPr>
            <w:r>
              <w:rPr>
                <w:rFonts w:hint="eastAsia"/>
                <w:color w:val="auto"/>
                <w:lang w:val="en-US" w:eastAsia="zh-CN"/>
              </w:rPr>
              <w:t>1节电控制：综合部</w:t>
            </w:r>
            <w:r>
              <w:rPr>
                <w:rFonts w:hint="default"/>
                <w:color w:val="auto"/>
                <w:lang w:val="en-US" w:eastAsia="zh-CN"/>
              </w:rPr>
              <w:t>全体人员树立节约用电、安全用电意识。在工作需要时开灯，人离</w:t>
            </w:r>
            <w:r>
              <w:rPr>
                <w:rFonts w:hint="eastAsia"/>
                <w:color w:val="auto"/>
                <w:lang w:val="en-US" w:eastAsia="zh-CN"/>
              </w:rPr>
              <w:t>综合部</w:t>
            </w:r>
            <w:r>
              <w:rPr>
                <w:rFonts w:hint="default"/>
                <w:color w:val="auto"/>
                <w:lang w:val="en-US" w:eastAsia="zh-CN"/>
              </w:rPr>
              <w:t xml:space="preserve">必须随手关灯，光线好的房间，必须关闭照明设备。。走廊、楼道里的灯要随手关闭，办公场所应关闭不必要的夜间照明。  </w:t>
            </w:r>
            <w:r>
              <w:rPr>
                <w:rFonts w:hint="eastAsia"/>
                <w:color w:val="auto"/>
                <w:lang w:val="en-US" w:eastAsia="zh-CN"/>
              </w:rPr>
              <w:t>现场观察符合要求</w:t>
            </w:r>
          </w:p>
          <w:p>
            <w:pPr>
              <w:rPr>
                <w:rFonts w:hint="default"/>
                <w:color w:val="auto"/>
                <w:lang w:val="en-US" w:eastAsia="zh-CN"/>
              </w:rPr>
            </w:pPr>
            <w:r>
              <w:rPr>
                <w:rFonts w:hint="default"/>
                <w:color w:val="auto"/>
                <w:lang w:val="en-US" w:eastAsia="zh-CN"/>
              </w:rPr>
              <w:t xml:space="preserve"> </w:t>
            </w:r>
            <w:r>
              <w:rPr>
                <w:rFonts w:hint="eastAsia"/>
                <w:color w:val="auto"/>
                <w:lang w:val="en-US" w:eastAsia="zh-CN"/>
              </w:rPr>
              <w:t>2</w:t>
            </w:r>
            <w:r>
              <w:rPr>
                <w:rFonts w:hint="default"/>
                <w:color w:val="auto"/>
                <w:lang w:val="en-US" w:eastAsia="zh-CN"/>
              </w:rPr>
              <w:t>尽量少用空调设备，必须使用空调时，按统一规定执行。如发现下班后未关闭空调设备，对部门负责人</w:t>
            </w:r>
            <w:r>
              <w:rPr>
                <w:rFonts w:hint="eastAsia"/>
                <w:color w:val="auto"/>
                <w:lang w:val="en-US" w:eastAsia="zh-CN"/>
              </w:rPr>
              <w:t>进行批评教育，现场观察符合要求</w:t>
            </w:r>
          </w:p>
          <w:p>
            <w:pPr>
              <w:rPr>
                <w:rFonts w:hint="eastAsia"/>
                <w:color w:val="auto"/>
                <w:lang w:val="en-US" w:eastAsia="zh-CN"/>
              </w:rPr>
            </w:pPr>
            <w:r>
              <w:rPr>
                <w:rFonts w:hint="eastAsia"/>
                <w:color w:val="auto"/>
                <w:lang w:val="en-US" w:eastAsia="zh-CN"/>
              </w:rPr>
              <w:t>3</w:t>
            </w:r>
            <w:r>
              <w:rPr>
                <w:rFonts w:hint="default"/>
                <w:color w:val="auto"/>
                <w:lang w:val="en-US" w:eastAsia="zh-CN"/>
              </w:rPr>
              <w:t xml:space="preserve">电脑设备不使用时，要进入低能耗休眠状态，减少待机能耗。工作完后，及时关闭计算机、打印机、传真机等设备，下班后无待机现象。  </w:t>
            </w:r>
            <w:r>
              <w:rPr>
                <w:rFonts w:hint="eastAsia"/>
                <w:color w:val="auto"/>
                <w:lang w:val="en-US" w:eastAsia="zh-CN"/>
              </w:rPr>
              <w:t>现场观察符合要求</w:t>
            </w:r>
          </w:p>
          <w:p>
            <w:pPr>
              <w:rPr>
                <w:rFonts w:hint="default"/>
                <w:color w:val="auto"/>
                <w:lang w:val="en-US" w:eastAsia="zh-CN"/>
              </w:rPr>
            </w:pPr>
            <w:r>
              <w:rPr>
                <w:rFonts w:hint="eastAsia"/>
                <w:color w:val="auto"/>
                <w:lang w:val="en-US" w:eastAsia="zh-CN"/>
              </w:rPr>
              <w:t>4</w:t>
            </w:r>
            <w:r>
              <w:rPr>
                <w:rFonts w:hint="default"/>
                <w:color w:val="auto"/>
                <w:lang w:val="en-US" w:eastAsia="zh-CN"/>
              </w:rPr>
              <w:t>各</w:t>
            </w:r>
            <w:r>
              <w:rPr>
                <w:rFonts w:hint="eastAsia"/>
                <w:color w:val="auto"/>
                <w:lang w:val="en-US" w:eastAsia="zh-CN"/>
              </w:rPr>
              <w:t>综合部</w:t>
            </w:r>
            <w:r>
              <w:rPr>
                <w:rFonts w:hint="default"/>
                <w:color w:val="auto"/>
                <w:lang w:val="en-US" w:eastAsia="zh-CN"/>
              </w:rPr>
              <w:t>电脑、空调、电扇、饮水机等一切电器设备应在下班时确保关闭</w:t>
            </w:r>
            <w:r>
              <w:rPr>
                <w:rFonts w:hint="eastAsia"/>
                <w:color w:val="auto"/>
                <w:lang w:val="en-US" w:eastAsia="zh-CN"/>
              </w:rPr>
              <w:t>.现场观察，符合要求</w:t>
            </w:r>
          </w:p>
          <w:p>
            <w:pPr>
              <w:rPr>
                <w:rFonts w:hint="eastAsia"/>
                <w:color w:val="auto"/>
                <w:lang w:val="en-US" w:eastAsia="zh-CN"/>
              </w:rPr>
            </w:pPr>
            <w:r>
              <w:rPr>
                <w:rFonts w:hint="eastAsia"/>
                <w:color w:val="auto"/>
                <w:lang w:val="en-US" w:eastAsia="zh-CN"/>
              </w:rPr>
              <w:t>5</w:t>
            </w:r>
            <w:r>
              <w:rPr>
                <w:rFonts w:hint="default"/>
                <w:color w:val="auto"/>
                <w:lang w:val="en-US" w:eastAsia="zh-CN"/>
              </w:rPr>
              <w:t>严禁在</w:t>
            </w:r>
            <w:r>
              <w:rPr>
                <w:rFonts w:hint="eastAsia"/>
                <w:color w:val="auto"/>
                <w:lang w:val="en-US" w:eastAsia="zh-CN"/>
              </w:rPr>
              <w:t>综合部</w:t>
            </w:r>
            <w:r>
              <w:rPr>
                <w:rFonts w:hint="default"/>
                <w:color w:val="auto"/>
                <w:lang w:val="en-US" w:eastAsia="zh-CN"/>
              </w:rPr>
              <w:t>使用电炉、电暖气、电热水壶等高压负荷电器，不得随意搭接电线设备</w:t>
            </w:r>
            <w:r>
              <w:rPr>
                <w:rFonts w:hint="eastAsia"/>
                <w:color w:val="auto"/>
                <w:lang w:val="en-US" w:eastAsia="zh-CN"/>
              </w:rPr>
              <w:t>.现场观察符合要求</w:t>
            </w:r>
          </w:p>
          <w:p>
            <w:pPr>
              <w:rPr>
                <w:rFonts w:hint="eastAsia"/>
                <w:color w:val="auto"/>
                <w:lang w:val="en-US" w:eastAsia="zh-CN"/>
              </w:rPr>
            </w:pPr>
            <w:r>
              <w:rPr>
                <w:rFonts w:hint="eastAsia"/>
                <w:color w:val="auto"/>
                <w:lang w:val="en-US" w:eastAsia="zh-CN"/>
              </w:rPr>
              <w:t>综合部区域：节水，水龙头没有滴水情况，中水擦地、浇水、冲厕所</w:t>
            </w:r>
          </w:p>
          <w:p>
            <w:pPr>
              <w:rPr>
                <w:rFonts w:hint="default"/>
                <w:color w:val="auto"/>
                <w:lang w:val="en-US" w:eastAsia="zh-CN"/>
              </w:rPr>
            </w:pPr>
            <w:r>
              <w:rPr>
                <w:rFonts w:hint="eastAsia"/>
                <w:color w:val="auto"/>
                <w:lang w:val="en-US" w:eastAsia="zh-CN"/>
              </w:rPr>
              <w:t>能源管理：现场采用声控节能灯，未发现有漏水和浪费电能的现象。</w:t>
            </w:r>
          </w:p>
          <w:p>
            <w:pPr>
              <w:rPr>
                <w:rFonts w:hint="eastAsia"/>
                <w:color w:val="auto"/>
                <w:lang w:val="en-US" w:eastAsia="zh-CN"/>
              </w:rPr>
            </w:pPr>
            <w:r>
              <w:rPr>
                <w:rFonts w:hint="eastAsia"/>
                <w:color w:val="auto"/>
                <w:lang w:val="en-US" w:eastAsia="zh-CN"/>
              </w:rPr>
              <w:t>查：财务资金保障</w:t>
            </w:r>
          </w:p>
          <w:p>
            <w:pPr>
              <w:rPr>
                <w:rFonts w:hint="eastAsia"/>
                <w:color w:val="auto"/>
                <w:lang w:val="en-US" w:eastAsia="zh-CN"/>
              </w:rPr>
            </w:pPr>
            <w:r>
              <w:rPr>
                <w:rFonts w:hint="eastAsia"/>
                <w:color w:val="auto"/>
                <w:lang w:val="en-US" w:eastAsia="zh-CN"/>
              </w:rPr>
              <w:t xml:space="preserve">提供2021年财务资金情况： </w:t>
            </w:r>
          </w:p>
          <w:p>
            <w:pPr>
              <w:rPr>
                <w:rFonts w:hint="eastAsia"/>
                <w:color w:val="auto"/>
                <w:lang w:val="en-US" w:eastAsia="zh-CN"/>
              </w:rPr>
            </w:pPr>
            <w:r>
              <w:rPr>
                <w:rFonts w:hint="eastAsia"/>
                <w:color w:val="auto"/>
                <w:lang w:val="en-US" w:eastAsia="zh-CN"/>
              </w:rPr>
              <w:t>2021年1-10月电力资金：46921663.51元</w:t>
            </w:r>
          </w:p>
          <w:p>
            <w:pPr>
              <w:rPr>
                <w:rFonts w:hint="eastAsia"/>
                <w:color w:val="auto"/>
                <w:lang w:val="en-US" w:eastAsia="zh-CN"/>
              </w:rPr>
            </w:pPr>
            <w:r>
              <w:rPr>
                <w:rFonts w:hint="eastAsia"/>
                <w:color w:val="auto"/>
                <w:lang w:val="en-US" w:eastAsia="zh-CN"/>
              </w:rPr>
              <w:t>2021年1-9月天然气费支出：303915.8元</w:t>
            </w:r>
          </w:p>
          <w:p>
            <w:pPr>
              <w:pStyle w:val="2"/>
              <w:rPr>
                <w:rFonts w:hint="default"/>
                <w:lang w:val="en-US" w:eastAsia="zh-CN"/>
              </w:rPr>
            </w:pPr>
          </w:p>
          <w:p>
            <w:pPr>
              <w:rPr>
                <w:rFonts w:hint="eastAsia"/>
                <w:color w:val="auto"/>
                <w:lang w:val="en-US" w:eastAsia="zh-CN"/>
              </w:rPr>
            </w:pPr>
            <w:r>
              <w:rPr>
                <w:rFonts w:hint="eastAsia"/>
                <w:color w:val="auto"/>
                <w:lang w:val="en-US" w:eastAsia="zh-CN"/>
              </w:rPr>
              <w:t>提供采购发票：</w:t>
            </w: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pPr>
            <w:bookmarkStart w:id="1" w:name="_GoBack"/>
            <w:r>
              <w:drawing>
                <wp:inline distT="0" distB="0" distL="114300" distR="114300">
                  <wp:extent cx="5968365" cy="3024505"/>
                  <wp:effectExtent l="0" t="0" r="635"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968365" cy="3024505"/>
                          </a:xfrm>
                          <a:prstGeom prst="rect">
                            <a:avLst/>
                          </a:prstGeom>
                          <a:noFill/>
                          <a:ln>
                            <a:noFill/>
                          </a:ln>
                        </pic:spPr>
                      </pic:pic>
                    </a:graphicData>
                  </a:graphic>
                </wp:inline>
              </w:drawing>
            </w:r>
            <w:bookmarkEnd w:id="1"/>
          </w:p>
          <w:p>
            <w:pPr>
              <w:pStyle w:val="2"/>
            </w:pPr>
          </w:p>
          <w:p>
            <w:pPr>
              <w:pStyle w:val="2"/>
            </w:pPr>
          </w:p>
          <w:p>
            <w:pPr>
              <w:pStyle w:val="2"/>
            </w:pPr>
          </w:p>
          <w:p>
            <w:pPr>
              <w:pStyle w:val="2"/>
              <w:rPr>
                <w:rFonts w:hint="default"/>
                <w:lang w:val="en-US" w:eastAsia="zh-CN"/>
              </w:rPr>
            </w:pPr>
          </w:p>
        </w:tc>
        <w:tc>
          <w:tcPr>
            <w:tcW w:w="1100" w:type="dxa"/>
            <w:vAlign w:val="top"/>
          </w:tcPr>
          <w:p>
            <w:pP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符合法律要求和其他要求的评价（合规性评价）</w:t>
            </w:r>
          </w:p>
        </w:tc>
        <w:tc>
          <w:tcPr>
            <w:tcW w:w="960" w:type="dxa"/>
            <w:vAlign w:val="top"/>
          </w:tcPr>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9.1.2</w:t>
            </w:r>
          </w:p>
        </w:tc>
        <w:tc>
          <w:tcPr>
            <w:tcW w:w="10489" w:type="dxa"/>
            <w:vAlign w:val="top"/>
          </w:tcPr>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编制了《合规性评价报告》查其中内容包含：“法律法规标准和其他要求的获取、法律法规和其他要求的遵守（符合国家能源产业发展政策、公司班组车间成立管理机构及岗位培训、严格执行国家用能设备能效标准、淘汰落后生产工艺装备和产品指导目录、严格执行GB17167相关要求、执行国家行业及地方能源相关标准等）”</w:t>
            </w:r>
          </w:p>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评价结论“公司能源管理基本符合相关法律法规和其他要求”；</w:t>
            </w:r>
          </w:p>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——查内容基本真实、符合识别的法律法规和其他要求的内容；报告有编审批“郑永清</w:t>
            </w:r>
            <w:r>
              <w:rPr>
                <w:rFonts w:hint="default" w:ascii="Times New Roman" w:hAnsi="Times New Roman" w:cs="Times New Roman"/>
                <w:color w:val="auto"/>
                <w:lang w:val="en-US" w:eastAsia="zh-CN"/>
              </w:rPr>
              <w:t xml:space="preserve"> </w:t>
            </w:r>
            <w:r>
              <w:rPr>
                <w:rFonts w:hint="eastAsia" w:ascii="Times New Roman" w:hAnsi="Times New Roman" w:cs="Times New Roman"/>
                <w:color w:val="auto"/>
                <w:lang w:val="en-US" w:eastAsia="zh-CN"/>
              </w:rPr>
              <w:t>”；</w:t>
            </w:r>
          </w:p>
        </w:tc>
        <w:tc>
          <w:tcPr>
            <w:tcW w:w="1100"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内部审核</w:t>
            </w:r>
          </w:p>
        </w:tc>
        <w:tc>
          <w:tcPr>
            <w:tcW w:w="960" w:type="dxa"/>
            <w:vAlign w:val="top"/>
          </w:tcPr>
          <w:p>
            <w:pPr>
              <w:spacing w:line="280" w:lineRule="exact"/>
              <w:jc w:val="left"/>
              <w:rPr>
                <w:rFonts w:hint="eastAsia" w:ascii="宋体" w:hAnsi="宋体" w:cs="Arial"/>
                <w:color w:val="auto"/>
                <w:spacing w:val="-6"/>
                <w:szCs w:val="21"/>
                <w:lang w:val="en-US" w:eastAsia="zh-CN"/>
              </w:rPr>
            </w:pPr>
            <w:r>
              <w:rPr>
                <w:rFonts w:hint="eastAsia" w:ascii="宋体" w:hAnsi="宋体" w:cs="Arial"/>
                <w:color w:val="auto"/>
                <w:spacing w:val="-6"/>
                <w:szCs w:val="21"/>
                <w:lang w:val="en-US" w:eastAsia="zh-CN"/>
              </w:rPr>
              <w:t>En</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w:t>
            </w:r>
          </w:p>
          <w:p>
            <w:pPr>
              <w:rPr>
                <w:rFonts w:hint="eastAsia" w:ascii="宋体" w:hAnsi="宋体" w:eastAsia="宋体" w:cs="宋体"/>
                <w:color w:val="auto"/>
                <w:sz w:val="24"/>
                <w:szCs w:val="24"/>
                <w:lang w:val="en-US" w:eastAsia="zh-CN"/>
              </w:rPr>
            </w:pPr>
          </w:p>
        </w:tc>
        <w:tc>
          <w:tcPr>
            <w:tcW w:w="10489" w:type="dxa"/>
            <w:vAlign w:val="center"/>
          </w:tcPr>
          <w:p>
            <w:pPr>
              <w:ind w:firstLine="420" w:firstLineChars="200"/>
              <w:rPr>
                <w:color w:val="auto"/>
              </w:rPr>
            </w:pPr>
            <w:r>
              <w:rPr>
                <w:rFonts w:hint="eastAsia"/>
                <w:color w:val="auto"/>
              </w:rPr>
              <w:t>公司制定</w:t>
            </w:r>
            <w:r>
              <w:rPr>
                <w:rFonts w:hint="eastAsia"/>
                <w:color w:val="auto"/>
                <w:szCs w:val="22"/>
              </w:rPr>
              <w:t>《</w:t>
            </w:r>
            <w:r>
              <w:rPr>
                <w:rFonts w:hint="eastAsia"/>
                <w:color w:val="auto"/>
              </w:rPr>
              <w:t>内部审核控制程序》，对内部审核方案策划规定：</w:t>
            </w:r>
          </w:p>
          <w:p>
            <w:pPr>
              <w:rPr>
                <w:color w:val="auto"/>
              </w:rPr>
            </w:pPr>
            <w:r>
              <w:rPr>
                <w:rFonts w:hint="eastAsia"/>
                <w:color w:val="auto"/>
              </w:rPr>
              <w:t>1.频次：内审每年进行一次，两次内部审核的时间间隔不超过12个月。</w:t>
            </w:r>
          </w:p>
          <w:p>
            <w:pPr>
              <w:rPr>
                <w:color w:val="auto"/>
              </w:rPr>
            </w:pPr>
            <w:r>
              <w:rPr>
                <w:rFonts w:hint="eastAsia"/>
                <w:color w:val="auto"/>
              </w:rPr>
              <w:t>2.方法：按部门/过程审核。</w:t>
            </w:r>
          </w:p>
          <w:p>
            <w:pPr>
              <w:rPr>
                <w:color w:val="auto"/>
              </w:rPr>
            </w:pPr>
            <w:r>
              <w:rPr>
                <w:rFonts w:hint="eastAsia"/>
                <w:color w:val="auto"/>
              </w:rPr>
              <w:t>3.职责：体系负责人组织内部审核活动。</w:t>
            </w:r>
          </w:p>
          <w:p>
            <w:pPr>
              <w:rPr>
                <w:color w:val="auto"/>
              </w:rPr>
            </w:pPr>
            <w:r>
              <w:rPr>
                <w:rFonts w:hint="eastAsia"/>
                <w:color w:val="auto"/>
              </w:rPr>
              <w:t>4.策划要求：范围、准则、工作分配等。</w:t>
            </w:r>
          </w:p>
          <w:p>
            <w:pPr>
              <w:rPr>
                <w:color w:val="auto"/>
              </w:rPr>
            </w:pPr>
            <w:r>
              <w:rPr>
                <w:rFonts w:hint="eastAsia"/>
                <w:color w:val="auto"/>
              </w:rPr>
              <w:t>5.报告：体系负责人在内部审核结束及纠正措施完成后应向总经理报告审核结果。</w:t>
            </w:r>
          </w:p>
          <w:p>
            <w:pPr>
              <w:rPr>
                <w:rFonts w:hint="eastAsia"/>
                <w:color w:val="auto"/>
              </w:rPr>
            </w:pPr>
            <w:r>
              <w:rPr>
                <w:rFonts w:hint="eastAsia"/>
                <w:color w:val="auto"/>
              </w:rPr>
              <w:t>6.提供了《</w:t>
            </w:r>
            <w:r>
              <w:rPr>
                <w:rFonts w:hint="eastAsia"/>
                <w:color w:val="auto"/>
                <w:lang w:eastAsia="zh-CN"/>
              </w:rPr>
              <w:t>202</w:t>
            </w:r>
            <w:r>
              <w:rPr>
                <w:rFonts w:hint="eastAsia"/>
                <w:color w:val="auto"/>
                <w:lang w:val="en-US" w:eastAsia="zh-CN"/>
              </w:rPr>
              <w:t>1</w:t>
            </w:r>
            <w:r>
              <w:rPr>
                <w:rFonts w:hint="eastAsia"/>
                <w:color w:val="auto"/>
              </w:rPr>
              <w:t>年内部审核实</w:t>
            </w:r>
            <w:r>
              <w:rPr>
                <w:rFonts w:hint="eastAsia" w:eastAsia="宋体"/>
                <w:color w:val="auto"/>
              </w:rPr>
              <w:t xml:space="preserve">施计划》，发布了内部管理体系审核通知，计划内容有：目的、范围、审核准则、审核时间 </w:t>
            </w:r>
            <w:r>
              <w:rPr>
                <w:rFonts w:hint="eastAsia" w:eastAsia="宋体"/>
                <w:color w:val="auto"/>
                <w:lang w:val="en-US" w:eastAsia="zh-CN"/>
              </w:rPr>
              <w:t>2021</w:t>
            </w:r>
            <w:r>
              <w:rPr>
                <w:rFonts w:hint="eastAsia" w:eastAsia="宋体"/>
                <w:color w:val="auto"/>
              </w:rPr>
              <w:t xml:space="preserve"> 年</w:t>
            </w:r>
            <w:r>
              <w:rPr>
                <w:rFonts w:hint="eastAsia"/>
                <w:color w:val="auto"/>
                <w:lang w:val="en-US" w:eastAsia="zh-CN"/>
              </w:rPr>
              <w:t>10</w:t>
            </w:r>
            <w:r>
              <w:rPr>
                <w:rFonts w:hint="eastAsia" w:eastAsia="宋体"/>
                <w:color w:val="auto"/>
              </w:rPr>
              <w:t xml:space="preserve">月 </w:t>
            </w:r>
            <w:r>
              <w:rPr>
                <w:rFonts w:hint="eastAsia" w:eastAsia="宋体"/>
                <w:color w:val="auto"/>
                <w:lang w:val="en-US" w:eastAsia="zh-CN"/>
              </w:rPr>
              <w:t>10</w:t>
            </w:r>
            <w:r>
              <w:rPr>
                <w:rFonts w:hint="eastAsia" w:eastAsia="宋体"/>
                <w:color w:val="auto"/>
              </w:rPr>
              <w:t>日。编制：黄清涛     批准：郑尊荣 ，</w:t>
            </w:r>
          </w:p>
          <w:p>
            <w:pPr>
              <w:pStyle w:val="15"/>
              <w:rPr>
                <w:rFonts w:hint="default" w:eastAsia="宋体"/>
                <w:color w:val="auto"/>
                <w:lang w:val="en-US" w:eastAsia="zh-CN"/>
              </w:rPr>
            </w:pPr>
            <w:r>
              <w:rPr>
                <w:rFonts w:hint="eastAsia"/>
                <w:color w:val="auto"/>
                <w:lang w:val="en-US" w:eastAsia="zh-CN"/>
              </w:rPr>
              <w:t>查阅签到表，未提供签字记录，已沟通，并补充，见附件</w:t>
            </w:r>
          </w:p>
          <w:p>
            <w:pPr>
              <w:rPr>
                <w:rFonts w:hint="eastAsia"/>
                <w:color w:val="auto"/>
              </w:rPr>
            </w:pPr>
            <w:r>
              <w:rPr>
                <w:rFonts w:hint="eastAsia"/>
                <w:color w:val="auto"/>
              </w:rPr>
              <w:t>查阅</w:t>
            </w:r>
            <w:r>
              <w:rPr>
                <w:rFonts w:hint="eastAsia"/>
                <w:color w:val="auto"/>
                <w:lang w:eastAsia="zh-CN"/>
              </w:rPr>
              <w:t>2020</w:t>
            </w:r>
            <w:r>
              <w:rPr>
                <w:rFonts w:hint="eastAsia"/>
                <w:color w:val="auto"/>
              </w:rPr>
              <w:t>年度内部审核有关记录</w:t>
            </w:r>
          </w:p>
          <w:p>
            <w:pPr>
              <w:rPr>
                <w:rFonts w:hint="eastAsia" w:ascii="楷体_GB2312" w:hAnsi="宋体" w:eastAsia="楷体_GB2312"/>
                <w:b/>
                <w:color w:val="auto"/>
                <w:sz w:val="24"/>
              </w:rPr>
            </w:pPr>
            <w:r>
              <w:rPr>
                <w:rFonts w:hint="eastAsia"/>
                <w:color w:val="auto"/>
              </w:rPr>
              <w:t>提供了审核组名单：组长</w:t>
            </w:r>
            <w:r>
              <w:rPr>
                <w:rFonts w:hint="eastAsia" w:eastAsia="宋体"/>
                <w:color w:val="auto"/>
                <w:lang w:val="en-US" w:eastAsia="zh-CN"/>
              </w:rPr>
              <w:t>：</w:t>
            </w:r>
            <w:r>
              <w:rPr>
                <w:rFonts w:hint="eastAsia" w:eastAsia="宋体"/>
                <w:color w:val="auto"/>
              </w:rPr>
              <w:t>郑俊豪</w:t>
            </w:r>
            <w:r>
              <w:rPr>
                <w:rFonts w:hint="eastAsia" w:eastAsia="宋体"/>
                <w:color w:val="auto"/>
                <w:lang w:val="en-US" w:eastAsia="zh-CN"/>
              </w:rPr>
              <w:t xml:space="preserve">  组员：</w:t>
            </w:r>
            <w:r>
              <w:rPr>
                <w:rFonts w:hint="eastAsia" w:eastAsia="宋体"/>
                <w:color w:val="auto"/>
              </w:rPr>
              <w:t>吴树天</w:t>
            </w:r>
          </w:p>
          <w:p>
            <w:pPr>
              <w:spacing w:line="360" w:lineRule="exac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审核范围：公司领导层、各部门。查</w:t>
            </w:r>
            <w:r>
              <w:rPr>
                <w:rFonts w:hint="eastAsia" w:cs="Times New Roman"/>
                <w:color w:val="auto"/>
                <w:lang w:val="en-US" w:eastAsia="zh-CN"/>
              </w:rPr>
              <w:t>未</w:t>
            </w:r>
            <w:r>
              <w:rPr>
                <w:rFonts w:hint="eastAsia" w:ascii="Times New Roman" w:hAnsi="Times New Roman" w:eastAsia="宋体" w:cs="Times New Roman"/>
                <w:color w:val="auto"/>
              </w:rPr>
              <w:t>全条款覆盖。</w:t>
            </w:r>
            <w:r>
              <w:rPr>
                <w:rFonts w:hint="eastAsia" w:cs="Times New Roman"/>
                <w:color w:val="auto"/>
                <w:lang w:val="en-US" w:eastAsia="zh-CN"/>
              </w:rPr>
              <w:t>无技术部及相应条款的审核，已沟通，并补充，见附件</w:t>
            </w:r>
          </w:p>
          <w:p>
            <w:pPr>
              <w:spacing w:line="360" w:lineRule="exact"/>
              <w:rPr>
                <w:rFonts w:hint="eastAsia" w:ascii="Times New Roman" w:hAnsi="Times New Roman" w:eastAsia="宋体" w:cs="Times New Roman"/>
                <w:color w:val="auto"/>
              </w:rPr>
            </w:pPr>
            <w:r>
              <w:rPr>
                <w:rFonts w:hint="eastAsia" w:ascii="Times New Roman" w:hAnsi="Times New Roman" w:eastAsia="宋体" w:cs="Times New Roman"/>
                <w:color w:val="auto"/>
              </w:rPr>
              <w:t>3.审核准则：</w:t>
            </w:r>
            <w:r>
              <w:rPr>
                <w:rFonts w:hint="eastAsia" w:ascii="Times New Roman" w:hAnsi="Times New Roman" w:eastAsia="宋体" w:cs="Times New Roman"/>
                <w:color w:val="auto"/>
                <w:lang w:val="en-US" w:eastAsia="zh-CN"/>
              </w:rPr>
              <w:t>GB/T24001-2016;</w:t>
            </w:r>
            <w:r>
              <w:rPr>
                <w:rFonts w:hint="eastAsia" w:ascii="Times New Roman" w:hAnsi="Times New Roman" w:eastAsia="宋体" w:cs="Times New Roman"/>
                <w:color w:val="auto"/>
              </w:rPr>
              <w:t>ISO50001:2018，公司管理体系文件、适用的法律法规、产品标准等。</w:t>
            </w:r>
          </w:p>
          <w:p>
            <w:pPr>
              <w:spacing w:line="360" w:lineRule="exact"/>
              <w:rPr>
                <w:rFonts w:hint="eastAsia" w:ascii="Times New Roman" w:hAnsi="Times New Roman" w:eastAsia="宋体" w:cs="Times New Roman"/>
                <w:color w:val="auto"/>
              </w:rPr>
            </w:pPr>
            <w:r>
              <w:rPr>
                <w:rFonts w:hint="eastAsia" w:ascii="Times New Roman" w:hAnsi="Times New Roman" w:eastAsia="宋体" w:cs="Times New Roman"/>
                <w:color w:val="auto"/>
              </w:rPr>
              <w:t>4.提供了《内审首次会议签到表》，参加人有各部门负责人等。</w:t>
            </w:r>
          </w:p>
          <w:p>
            <w:pPr>
              <w:spacing w:line="360" w:lineRule="exact"/>
              <w:rPr>
                <w:rFonts w:hint="eastAsia" w:ascii="Times New Roman" w:hAnsi="Times New Roman" w:eastAsia="宋体" w:cs="Times New Roman"/>
                <w:color w:val="auto"/>
              </w:rPr>
            </w:pPr>
            <w:r>
              <w:rPr>
                <w:rFonts w:hint="eastAsia" w:ascii="Times New Roman" w:hAnsi="Times New Roman" w:eastAsia="宋体" w:cs="Times New Roman"/>
                <w:color w:val="auto"/>
              </w:rPr>
              <w:t>5.提供了《内审检查表》，经查阅对照，受审核部门涉及条款与公司管理体系职责分配相一致。审核记录基本满足要求。</w:t>
            </w:r>
          </w:p>
          <w:p>
            <w:pPr>
              <w:spacing w:line="360" w:lineRule="exact"/>
              <w:rPr>
                <w:rFonts w:hint="eastAsia" w:ascii="Times New Roman" w:hAnsi="Times New Roman" w:eastAsia="宋体" w:cs="Times New Roman"/>
                <w:color w:val="auto"/>
              </w:rPr>
            </w:pPr>
            <w:r>
              <w:rPr>
                <w:rFonts w:hint="eastAsia" w:ascii="Times New Roman" w:hAnsi="Times New Roman" w:eastAsia="宋体" w:cs="Times New Roman"/>
                <w:color w:val="auto"/>
              </w:rPr>
              <w:t>6.提供了《内审不合格报告》</w:t>
            </w:r>
          </w:p>
          <w:p>
            <w:pPr>
              <w:spacing w:line="360" w:lineRule="exac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提供不符合报告，经过整改不符合已经关闭</w:t>
            </w:r>
          </w:p>
          <w:p>
            <w:pPr>
              <w:spacing w:line="360" w:lineRule="exact"/>
              <w:rPr>
                <w:rFonts w:hint="eastAsia" w:ascii="Times New Roman" w:hAnsi="Times New Roman" w:eastAsia="宋体" w:cs="Times New Roman"/>
                <w:color w:val="auto"/>
              </w:rPr>
            </w:pPr>
            <w:r>
              <w:rPr>
                <w:rFonts w:hint="eastAsia" w:ascii="Times New Roman" w:hAnsi="Times New Roman" w:eastAsia="宋体" w:cs="Times New Roman"/>
                <w:color w:val="auto"/>
              </w:rPr>
              <w:t>对于涉及不符合项的部门，进行了原因分析并制定纠正措施计划，经过审核组验证，纠正措施有效。</w:t>
            </w:r>
          </w:p>
          <w:p>
            <w:pPr>
              <w:spacing w:line="360" w:lineRule="exact"/>
              <w:rPr>
                <w:rFonts w:hint="eastAsia" w:ascii="Times New Roman" w:hAnsi="Times New Roman" w:eastAsia="宋体" w:cs="Times New Roman"/>
                <w:color w:val="auto"/>
              </w:rPr>
            </w:pPr>
            <w:r>
              <w:rPr>
                <w:rFonts w:hint="eastAsia" w:ascii="Times New Roman" w:hAnsi="Times New Roman" w:eastAsia="宋体" w:cs="Times New Roman"/>
                <w:color w:val="auto"/>
              </w:rPr>
              <w:t>7.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理体系标准条款学习，进行不符合项整改，要求在5日内整改完毕，由管代组织相关内审员对整改后的情况进行跟踪验证，确认纠正及纠正措施有效，体系的建立、运行符合质量管理体系要求。</w:t>
            </w:r>
          </w:p>
          <w:p>
            <w:pPr>
              <w:spacing w:line="360" w:lineRule="exact"/>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审核结论：基本符合计划安排和标准的要求，并得到了较有效实施和保持， 仍需进一步改进。    </w:t>
            </w:r>
          </w:p>
          <w:p>
            <w:pPr>
              <w:spacing w:line="360" w:lineRule="exact"/>
              <w:rPr>
                <w:rFonts w:hint="default" w:eastAsia="宋体"/>
                <w:color w:val="auto"/>
                <w:lang w:val="en-US" w:eastAsia="zh-CN"/>
              </w:rPr>
            </w:pPr>
            <w:r>
              <w:rPr>
                <w:rFonts w:hint="eastAsia" w:ascii="Times New Roman" w:hAnsi="Times New Roman" w:eastAsia="宋体" w:cs="Times New Roman"/>
                <w:color w:val="auto"/>
              </w:rPr>
              <w:t>审核组长：郑俊豪</w:t>
            </w:r>
            <w:r>
              <w:rPr>
                <w:rFonts w:hint="eastAsia" w:ascii="Times New Roman" w:hAnsi="Times New Roman" w:eastAsia="宋体" w:cs="Times New Roman"/>
                <w:color w:val="auto"/>
                <w:lang w:val="en-US" w:eastAsia="zh-CN"/>
              </w:rPr>
              <w:t xml:space="preserve"> </w:t>
            </w:r>
            <w:r>
              <w:rPr>
                <w:rFonts w:hint="eastAsia" w:ascii="Times New Roman" w:hAnsi="Times New Roman" w:eastAsia="宋体" w:cs="Times New Roman"/>
                <w:color w:val="auto"/>
              </w:rPr>
              <w:t xml:space="preserve"> 批准：</w:t>
            </w:r>
            <w:r>
              <w:rPr>
                <w:rFonts w:hint="eastAsia" w:ascii="Times New Roman" w:hAnsi="Times New Roman" w:eastAsia="宋体" w:cs="Times New Roman"/>
                <w:color w:val="auto"/>
                <w:lang w:val="en-US" w:eastAsia="zh-CN"/>
              </w:rPr>
              <w:t>郑永清</w:t>
            </w:r>
          </w:p>
          <w:p>
            <w:pPr>
              <w:ind w:firstLine="420" w:firstLineChars="200"/>
              <w:rPr>
                <w:rFonts w:hint="default" w:ascii="宋体" w:hAnsi="宋体" w:eastAsia="宋体" w:cs="宋体"/>
                <w:color w:val="auto"/>
                <w:sz w:val="24"/>
                <w:szCs w:val="24"/>
                <w:lang w:val="en-US" w:eastAsia="zh-CN"/>
              </w:rPr>
            </w:pPr>
            <w:r>
              <w:rPr>
                <w:rFonts w:hint="eastAsia"/>
                <w:color w:val="auto"/>
              </w:rPr>
              <w:t>提供了内审员培训记录，审核员没有审核自己部门工作，具有独立性。</w:t>
            </w:r>
          </w:p>
        </w:tc>
        <w:tc>
          <w:tcPr>
            <w:tcW w:w="1100"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spacing w:line="36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不符合和纠正措施</w:t>
            </w: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tc>
        <w:tc>
          <w:tcPr>
            <w:tcW w:w="960" w:type="dxa"/>
            <w:vAlign w:val="top"/>
          </w:tcPr>
          <w:p>
            <w:pPr>
              <w:spacing w:line="36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10.1</w:t>
            </w: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p>
            <w:pPr>
              <w:spacing w:line="360" w:lineRule="exact"/>
              <w:rPr>
                <w:rFonts w:hint="eastAsia" w:ascii="Times New Roman" w:hAnsi="Times New Roman" w:eastAsia="宋体" w:cs="Times New Roman"/>
                <w:color w:val="auto"/>
                <w:lang w:val="en-US" w:eastAsia="zh-CN"/>
              </w:rPr>
            </w:pPr>
          </w:p>
        </w:tc>
        <w:tc>
          <w:tcPr>
            <w:tcW w:w="10489" w:type="dxa"/>
            <w:vAlign w:val="top"/>
          </w:tcPr>
          <w:p>
            <w:pPr>
              <w:spacing w:line="360" w:lineRule="exact"/>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编制了《纠正措施和预防措施通知单》包括“不符合采取措施控制并纠正；任何纠正措施的结果、不符合的原因 性质和采取的任何后续措施；确定是否存在或是否可能发生类似的不符合；实施任何所需的措施；评审所采取的任何纠正措施的有效性；必要时，对能源管理体系进行变更改”等内容；</w:t>
            </w:r>
          </w:p>
          <w:p>
            <w:pPr>
              <w:spacing w:line="36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查内审不符合1项、有不符合项内容描述、原因分析、及纠正措施的实施及验证信息；不符合纠正措施验证有效、不符合关闭；</w:t>
            </w:r>
          </w:p>
          <w:p>
            <w:pPr>
              <w:spacing w:line="36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公司制定《纠正预防措施控制程序》，规定了纠正措施的来源,明确了对不合格项应进行原因分析,制定纠正措施计划,实施跟踪验证,确保所采取 的纠正措施满足预期要求。</w:t>
            </w:r>
          </w:p>
          <w:p>
            <w:pPr>
              <w:spacing w:line="36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内审中发现的不符合项已经采取纠正措施，整改完毕且有效。</w:t>
            </w:r>
          </w:p>
          <w:p>
            <w:pPr>
              <w:spacing w:line="36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通过交谈，基本能清楚纠正和预防措施的控制要求。改进的示例包括纠正、纠正措施、持续改进。</w:t>
            </w:r>
          </w:p>
          <w:p>
            <w:pPr>
              <w:spacing w:line="36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根据不同过程、不同产品和不同要求，采取不同的方法进行监视、测量和分析。无其他不符合发生。</w:t>
            </w:r>
          </w:p>
          <w:p>
            <w:pPr>
              <w:spacing w:line="360" w:lineRule="exact"/>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公司利用En方针、目标、内审和外审、数据分析、纠正和预防措施以及管理评审，识别任何改进的机会，持续改进质量管理体系的适宜性、充分性和有效性。</w:t>
            </w:r>
          </w:p>
        </w:tc>
        <w:tc>
          <w:tcPr>
            <w:tcW w:w="1100" w:type="dxa"/>
            <w:vAlign w:val="top"/>
          </w:tcPr>
          <w:p>
            <w:pPr>
              <w:rPr>
                <w:color w:val="auto"/>
              </w:rPr>
            </w:pPr>
          </w:p>
        </w:tc>
      </w:tr>
    </w:tbl>
    <w:p>
      <w:r>
        <w:ptab w:relativeTo="margin" w:alignment="center" w:leader="none"/>
      </w:r>
    </w:p>
    <w:p/>
    <w:p/>
    <w:p>
      <w:pPr>
        <w:pStyle w:val="8"/>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9"/>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025"/>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025"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Qaq5dYAAAAKAQAADwAAAAAAAAABACAAAAAiAAAAZHJzL2Rvd25yZXYu&#10;eG1sUEsBAhQAFAAAAAgAh07iQO6djL7EAQAAegMAAA4AAAAAAAAAAQAgAAAAJQEAAGRycy9lMm9E&#10;b2MueG1sUEsFBgAAAAAGAAYAWQEAAFs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9"/>
        <w:rFonts w:hint="default"/>
        <w:w w:val="90"/>
      </w:rPr>
      <w:t>Beijing International Standard united Certification Co.,Ltd.</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B7989"/>
    <w:rsid w:val="042862ED"/>
    <w:rsid w:val="066B79A8"/>
    <w:rsid w:val="07AC18F2"/>
    <w:rsid w:val="0A6A1554"/>
    <w:rsid w:val="0B2F2444"/>
    <w:rsid w:val="0FF44133"/>
    <w:rsid w:val="103A2607"/>
    <w:rsid w:val="10824623"/>
    <w:rsid w:val="10A967B9"/>
    <w:rsid w:val="12265489"/>
    <w:rsid w:val="1291364C"/>
    <w:rsid w:val="12B94D11"/>
    <w:rsid w:val="148168D6"/>
    <w:rsid w:val="16461BF9"/>
    <w:rsid w:val="1768237D"/>
    <w:rsid w:val="17F71F65"/>
    <w:rsid w:val="1B0E253E"/>
    <w:rsid w:val="20164800"/>
    <w:rsid w:val="22516447"/>
    <w:rsid w:val="22F07A84"/>
    <w:rsid w:val="246A3245"/>
    <w:rsid w:val="24F33525"/>
    <w:rsid w:val="24F82A34"/>
    <w:rsid w:val="2573164D"/>
    <w:rsid w:val="28AB754A"/>
    <w:rsid w:val="29801B7A"/>
    <w:rsid w:val="29AD5457"/>
    <w:rsid w:val="2CD9740B"/>
    <w:rsid w:val="2DC36F7A"/>
    <w:rsid w:val="351C2720"/>
    <w:rsid w:val="36797100"/>
    <w:rsid w:val="36D74EBC"/>
    <w:rsid w:val="39606494"/>
    <w:rsid w:val="3B0B118D"/>
    <w:rsid w:val="3C033575"/>
    <w:rsid w:val="3FBE386E"/>
    <w:rsid w:val="403F79C4"/>
    <w:rsid w:val="42483FE4"/>
    <w:rsid w:val="44513AB2"/>
    <w:rsid w:val="45A4501C"/>
    <w:rsid w:val="47EC6D81"/>
    <w:rsid w:val="495D0CC2"/>
    <w:rsid w:val="4B946D42"/>
    <w:rsid w:val="4D4D66CE"/>
    <w:rsid w:val="4EFF2013"/>
    <w:rsid w:val="4F323AB9"/>
    <w:rsid w:val="536212BA"/>
    <w:rsid w:val="536F19B2"/>
    <w:rsid w:val="53FF54C0"/>
    <w:rsid w:val="555F30D1"/>
    <w:rsid w:val="565A330A"/>
    <w:rsid w:val="56EE3107"/>
    <w:rsid w:val="5C5C3AFC"/>
    <w:rsid w:val="5C7A5750"/>
    <w:rsid w:val="5CFD0918"/>
    <w:rsid w:val="5DA47360"/>
    <w:rsid w:val="5DF52D98"/>
    <w:rsid w:val="5EA95088"/>
    <w:rsid w:val="603F5B71"/>
    <w:rsid w:val="60527450"/>
    <w:rsid w:val="613913A0"/>
    <w:rsid w:val="633E6947"/>
    <w:rsid w:val="63650B63"/>
    <w:rsid w:val="63E70002"/>
    <w:rsid w:val="64A74FCF"/>
    <w:rsid w:val="65705F30"/>
    <w:rsid w:val="676F3C4A"/>
    <w:rsid w:val="69B25C14"/>
    <w:rsid w:val="6CFD6C0C"/>
    <w:rsid w:val="6D896AE7"/>
    <w:rsid w:val="6EE76570"/>
    <w:rsid w:val="720D6AAF"/>
    <w:rsid w:val="73AA676C"/>
    <w:rsid w:val="742F48F9"/>
    <w:rsid w:val="79DC538C"/>
    <w:rsid w:val="7D4708C0"/>
    <w:rsid w:val="7DB920E5"/>
    <w:rsid w:val="7EA26C89"/>
    <w:rsid w:val="7EE73F2D"/>
    <w:rsid w:val="7EE93D41"/>
    <w:rsid w:val="7FD216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Body Text Indent"/>
    <w:basedOn w:val="1"/>
    <w:next w:val="4"/>
    <w:unhideWhenUsed/>
    <w:qFormat/>
    <w:uiPriority w:val="0"/>
    <w:pPr>
      <w:spacing w:beforeLines="0" w:after="120" w:afterLines="0"/>
      <w:ind w:left="200" w:leftChars="200"/>
    </w:pPr>
    <w:rPr>
      <w:rFonts w:hint="default"/>
      <w:sz w:val="24"/>
    </w:rPr>
  </w:style>
  <w:style w:type="paragraph" w:styleId="4">
    <w:name w:val="toc 3"/>
    <w:basedOn w:val="1"/>
    <w:next w:val="1"/>
    <w:unhideWhenUsed/>
    <w:qFormat/>
    <w:uiPriority w:val="0"/>
    <w:pPr>
      <w:spacing w:beforeLines="0" w:afterLines="0"/>
      <w:ind w:left="400" w:leftChars="400"/>
    </w:pPr>
    <w:rPr>
      <w:rFonts w:hint="default"/>
      <w:sz w:val="21"/>
    </w:rPr>
  </w:style>
  <w:style w:type="paragraph" w:styleId="5">
    <w:name w:val="Block Text"/>
    <w:basedOn w:val="1"/>
    <w:qFormat/>
    <w:uiPriority w:val="0"/>
    <w:pPr>
      <w:ind w:left="-178" w:leftChars="-85" w:right="1105" w:rightChars="526" w:firstLine="560" w:firstLineChars="200"/>
    </w:pPr>
    <w:rPr>
      <w:rFonts w:eastAsia="仿宋_GB2312"/>
      <w:sz w:val="28"/>
    </w:rPr>
  </w:style>
  <w:style w:type="paragraph" w:styleId="6">
    <w:name w:val="Plain Text"/>
    <w:basedOn w:val="1"/>
    <w:qFormat/>
    <w:uiPriority w:val="0"/>
    <w:rPr>
      <w:rFonts w:ascii="宋体" w:hAnsi="Courier New" w:cs="Courier New"/>
      <w:szCs w:val="21"/>
    </w:r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autoSpaceDE/>
      <w:autoSpaceDN/>
    </w:pPr>
    <w:rPr>
      <w:rFonts w:ascii="Calibri" w:hAnsi="Calibri" w:eastAsia="宋体"/>
      <w:sz w:val="24"/>
      <w:szCs w:val="24"/>
      <w:lang w:val="en-US" w:bidi="ar-SA"/>
    </w:rPr>
  </w:style>
  <w:style w:type="paragraph" w:styleId="11">
    <w:name w:val="Body Text First Indent"/>
    <w:basedOn w:val="2"/>
    <w:semiHidden/>
    <w:unhideWhenUsed/>
    <w:qFormat/>
    <w:uiPriority w:val="99"/>
    <w:pPr>
      <w:autoSpaceDE/>
      <w:autoSpaceDN/>
      <w:spacing w:before="0" w:after="120"/>
      <w:ind w:left="0" w:firstLine="420" w:firstLineChars="100"/>
      <w:jc w:val="both"/>
    </w:pPr>
    <w:rPr>
      <w:rFonts w:ascii="Times New Roman" w:hAnsi="Times New Roman" w:cs="Times New Roman"/>
      <w:kern w:val="2"/>
      <w:sz w:val="21"/>
      <w:szCs w:val="20"/>
      <w:lang w:val="en-US" w:bidi="ar-SA"/>
    </w:rPr>
  </w:style>
  <w:style w:type="paragraph" w:styleId="12">
    <w:name w:val="Body Text First Indent 2"/>
    <w:basedOn w:val="3"/>
    <w:next w:val="1"/>
    <w:unhideWhenUsed/>
    <w:qFormat/>
    <w:uiPriority w:val="0"/>
    <w:pPr>
      <w:autoSpaceDE w:val="0"/>
      <w:autoSpaceDN w:val="0"/>
      <w:adjustRightInd w:val="0"/>
      <w:spacing w:beforeLines="0" w:after="0" w:afterLines="0" w:line="360" w:lineRule="auto"/>
      <w:ind w:left="0" w:firstLine="420" w:firstLineChars="200"/>
      <w:jc w:val="left"/>
    </w:pPr>
    <w:rPr>
      <w:rFonts w:hint="default"/>
      <w:kern w:val="0"/>
      <w:sz w:val="24"/>
    </w:rPr>
  </w:style>
  <w:style w:type="paragraph" w:customStyle="1" w:styleId="15">
    <w:name w:val="表格文字"/>
    <w:basedOn w:val="1"/>
    <w:qFormat/>
    <w:uiPriority w:val="0"/>
    <w:pPr>
      <w:spacing w:before="25" w:after="25"/>
    </w:pPr>
    <w:rPr>
      <w:bCs/>
      <w:spacing w:val="10"/>
    </w:rPr>
  </w:style>
  <w:style w:type="character" w:customStyle="1" w:styleId="16">
    <w:name w:val="页眉 Char"/>
    <w:basedOn w:val="14"/>
    <w:link w:val="9"/>
    <w:qFormat/>
    <w:uiPriority w:val="99"/>
    <w:rPr>
      <w:rFonts w:ascii="Times New Roman" w:hAnsi="Times New Roman" w:eastAsia="宋体" w:cs="Times New Roman"/>
      <w:sz w:val="18"/>
      <w:szCs w:val="18"/>
    </w:rPr>
  </w:style>
  <w:style w:type="character" w:customStyle="1" w:styleId="17">
    <w:name w:val="页脚 Char"/>
    <w:basedOn w:val="14"/>
    <w:link w:val="8"/>
    <w:qFormat/>
    <w:uiPriority w:val="99"/>
    <w:rPr>
      <w:rFonts w:ascii="Times New Roman" w:hAnsi="Times New Roman" w:eastAsia="宋体" w:cs="Times New Roman"/>
      <w:sz w:val="18"/>
      <w:szCs w:val="18"/>
    </w:rPr>
  </w:style>
  <w:style w:type="character" w:customStyle="1" w:styleId="18">
    <w:name w:val="批注框文本 Char"/>
    <w:basedOn w:val="14"/>
    <w:link w:val="7"/>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pPr>
      <w:spacing w:before="92"/>
      <w:ind w:left="980" w:hanging="601"/>
    </w:pPr>
    <w:rPr>
      <w:rFonts w:ascii="宋体" w:hAnsi="宋体" w:eastAsia="宋体" w:cs="宋体"/>
      <w:lang w:val="zh-CN" w:eastAsia="zh-CN" w:bidi="zh-CN"/>
    </w:rPr>
  </w:style>
  <w:style w:type="character" w:customStyle="1" w:styleId="22">
    <w:name w:val="样式 页眉 + 五号 Char"/>
    <w:link w:val="23"/>
    <w:qFormat/>
    <w:uiPriority w:val="0"/>
    <w:rPr>
      <w:rFonts w:ascii="Calibri" w:hAnsi="Calibri"/>
      <w:sz w:val="20"/>
    </w:rPr>
  </w:style>
  <w:style w:type="paragraph" w:customStyle="1" w:styleId="23">
    <w:name w:val="样式 页眉 + 五号"/>
    <w:basedOn w:val="9"/>
    <w:link w:val="22"/>
    <w:qFormat/>
    <w:uiPriority w:val="0"/>
    <w:pPr>
      <w:pBdr>
        <w:bottom w:val="none" w:color="auto" w:sz="0" w:space="0"/>
      </w:pBdr>
    </w:pPr>
    <w:rPr>
      <w:rFonts w:ascii="Calibri" w:hAnsi="Calibri"/>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4554</Words>
  <Characters>4812</Characters>
  <Lines>1</Lines>
  <Paragraphs>1</Paragraphs>
  <TotalTime>2</TotalTime>
  <ScaleCrop>false</ScaleCrop>
  <LinksUpToDate>false</LinksUpToDate>
  <CharactersWithSpaces>4911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2021-11-22T15:48:09Z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24620FE07F824CEF9347841678D27BAF</vt:lpwstr>
  </property>
</Properties>
</file>